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395E6" w14:textId="78E6207E" w:rsidR="00454EF6" w:rsidRPr="000A08C5" w:rsidRDefault="00454EF6" w:rsidP="00454EF6">
      <w:pPr>
        <w:pStyle w:val="Header"/>
        <w:rPr>
          <w:lang w:val="en-GB"/>
        </w:rPr>
      </w:pPr>
      <w:r w:rsidRPr="00016BD0">
        <w:rPr>
          <w:lang w:val="en-GB"/>
        </w:rPr>
        <w:t>3GPP TSG-RAN WG2 Meeting #106</w:t>
      </w:r>
      <w:r w:rsidRPr="000A08C5">
        <w:rPr>
          <w:lang w:val="en-GB"/>
        </w:rPr>
        <w:tab/>
        <w:t>R2-190</w:t>
      </w:r>
      <w:r w:rsidR="00A379FA" w:rsidRPr="000A08C5">
        <w:rPr>
          <w:lang w:val="en-GB"/>
        </w:rPr>
        <w:t>6815</w:t>
      </w:r>
    </w:p>
    <w:p w14:paraId="0A7A9397" w14:textId="77777777" w:rsidR="00454EF6" w:rsidRPr="000A08C5" w:rsidRDefault="00454EF6" w:rsidP="00454EF6">
      <w:pPr>
        <w:pStyle w:val="Header"/>
        <w:rPr>
          <w:lang w:val="en-GB"/>
        </w:rPr>
      </w:pPr>
      <w:r w:rsidRPr="000A08C5">
        <w:rPr>
          <w:lang w:val="en-GB"/>
        </w:rPr>
        <w:t>Reno, USA, 13th - 17th May 2019</w:t>
      </w:r>
    </w:p>
    <w:p w14:paraId="6F5560C2" w14:textId="77777777" w:rsidR="00EE2818" w:rsidRPr="000A08C5" w:rsidRDefault="00EE2818" w:rsidP="00EE2818">
      <w:pPr>
        <w:pStyle w:val="CRCoverPage"/>
        <w:outlineLvl w:val="0"/>
        <w:rPr>
          <w:b/>
          <w:noProof/>
          <w:sz w:val="24"/>
          <w:lang w:eastAsia="ja-JP"/>
        </w:rPr>
      </w:pPr>
    </w:p>
    <w:p w14:paraId="396DF082" w14:textId="1E21031C" w:rsidR="00EE2818" w:rsidRPr="000A08C5" w:rsidRDefault="00EE2818" w:rsidP="00EE2818">
      <w:pPr>
        <w:pStyle w:val="CRCoverPage"/>
        <w:ind w:left="1988" w:hanging="1988"/>
        <w:rPr>
          <w:b/>
          <w:noProof/>
          <w:sz w:val="24"/>
        </w:rPr>
      </w:pPr>
      <w:r w:rsidRPr="000A08C5">
        <w:rPr>
          <w:b/>
          <w:noProof/>
          <w:sz w:val="24"/>
        </w:rPr>
        <w:t>Agenda Item:</w:t>
      </w:r>
      <w:r w:rsidRPr="000A08C5">
        <w:rPr>
          <w:b/>
          <w:noProof/>
          <w:sz w:val="24"/>
        </w:rPr>
        <w:tab/>
      </w:r>
      <w:r w:rsidR="00AB6525" w:rsidRPr="000A08C5">
        <w:rPr>
          <w:b/>
          <w:noProof/>
          <w:sz w:val="24"/>
        </w:rPr>
        <w:t>11.</w:t>
      </w:r>
      <w:r w:rsidR="00095540" w:rsidRPr="000A08C5">
        <w:rPr>
          <w:b/>
          <w:noProof/>
          <w:sz w:val="24"/>
        </w:rPr>
        <w:t>4</w:t>
      </w:r>
      <w:r w:rsidR="00AB6525" w:rsidRPr="000A08C5">
        <w:rPr>
          <w:b/>
          <w:noProof/>
          <w:sz w:val="24"/>
        </w:rPr>
        <w:t>.</w:t>
      </w:r>
      <w:r w:rsidR="007C180E" w:rsidRPr="000A08C5">
        <w:rPr>
          <w:b/>
          <w:noProof/>
          <w:sz w:val="24"/>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65292FE1" w:rsidR="00EE2818" w:rsidRPr="00C93A3C" w:rsidRDefault="00EE2818" w:rsidP="00EE2818">
      <w:pPr>
        <w:pStyle w:val="CRCoverPage"/>
        <w:ind w:left="1988" w:hanging="1988"/>
        <w:rPr>
          <w:b/>
          <w:noProof/>
          <w:sz w:val="24"/>
        </w:rPr>
      </w:pPr>
      <w:r>
        <w:rPr>
          <w:b/>
          <w:noProof/>
          <w:sz w:val="24"/>
        </w:rPr>
        <w:t>Title:</w:t>
      </w:r>
      <w:r>
        <w:rPr>
          <w:b/>
          <w:noProof/>
          <w:sz w:val="24"/>
        </w:rPr>
        <w:tab/>
      </w:r>
      <w:r w:rsidR="00137752">
        <w:rPr>
          <w:b/>
          <w:noProof/>
          <w:sz w:val="24"/>
        </w:rPr>
        <w:t>On cell re</w:t>
      </w:r>
      <w:r w:rsidR="00650FF3" w:rsidRPr="00650FF3">
        <w:rPr>
          <w:b/>
          <w:noProof/>
          <w:sz w:val="24"/>
        </w:rPr>
        <w:t>selection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28829D9C" w14:textId="543C6872" w:rsidR="008416C4" w:rsidRDefault="008416C4" w:rsidP="00D53224">
      <w:pPr>
        <w:rPr>
          <w:rFonts w:eastAsia="Malgun Gothic"/>
          <w:lang w:val="en-US" w:eastAsia="ko-KR"/>
        </w:rPr>
      </w:pPr>
      <w:r>
        <w:rPr>
          <w:rFonts w:eastAsia="Malgun Gothic"/>
          <w:lang w:val="en-US" w:eastAsia="ko-KR"/>
        </w:rPr>
        <w:t xml:space="preserve">In RAN2#104, it is agreed to </w:t>
      </w:r>
      <w:r w:rsidR="00650FF3">
        <w:rPr>
          <w:rFonts w:eastAsia="Malgun Gothic"/>
          <w:lang w:val="en-US" w:eastAsia="ko-KR"/>
        </w:rPr>
        <w:t xml:space="preserve">take the </w:t>
      </w:r>
      <w:r w:rsidR="00650FF3" w:rsidRPr="00650FF3">
        <w:rPr>
          <w:rFonts w:eastAsia="Malgun Gothic"/>
          <w:lang w:val="en-US" w:eastAsia="ko-KR"/>
        </w:rPr>
        <w:t xml:space="preserve">cell reselection criterion </w:t>
      </w:r>
      <w:r w:rsidR="00650FF3">
        <w:rPr>
          <w:rFonts w:eastAsia="Malgun Gothic"/>
          <w:lang w:val="en-US" w:eastAsia="ko-KR"/>
        </w:rPr>
        <w:t xml:space="preserve">in LTE V2X as baseline. It is FFS </w:t>
      </w:r>
      <w:r w:rsidR="00650FF3" w:rsidRPr="00650FF3">
        <w:rPr>
          <w:rFonts w:eastAsia="Malgun Gothic"/>
          <w:lang w:val="en-US" w:eastAsia="ko-KR"/>
        </w:rPr>
        <w:t>whether/what new criterion/configuration is needed</w:t>
      </w:r>
      <w:r w:rsidR="00650FF3">
        <w:rPr>
          <w:rFonts w:eastAsia="Malgun Gothic"/>
          <w:lang w:val="en-US" w:eastAsia="ko-KR"/>
        </w:rPr>
        <w:t>.</w:t>
      </w:r>
    </w:p>
    <w:p w14:paraId="7380F0EA" w14:textId="77777777" w:rsidR="00650FF3" w:rsidRDefault="00650FF3" w:rsidP="00650FF3">
      <w:pPr>
        <w:rPr>
          <w:rFonts w:eastAsia="Malgun Gothic"/>
          <w:lang w:val="en-US" w:eastAsia="ko-KR"/>
        </w:rPr>
      </w:pPr>
    </w:p>
    <w:p w14:paraId="34A739A5" w14:textId="77777777" w:rsidR="00650FF3" w:rsidRPr="00650FF3" w:rsidRDefault="00650FF3" w:rsidP="00650FF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650FF3">
        <w:rPr>
          <w:rFonts w:eastAsia="MS Mincho"/>
          <w:szCs w:val="24"/>
          <w:lang w:eastAsia="en-GB"/>
        </w:rPr>
        <w:t>Agreements</w:t>
      </w:r>
    </w:p>
    <w:p w14:paraId="0E5B3381" w14:textId="77777777" w:rsidR="00650FF3" w:rsidRPr="00650FF3" w:rsidRDefault="00650FF3" w:rsidP="00650FF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650FF3">
        <w:rPr>
          <w:rFonts w:eastAsia="MS Mincho"/>
          <w:noProof/>
          <w:szCs w:val="24"/>
          <w:lang w:eastAsia="en-GB"/>
        </w:rPr>
        <w:t>6:</w:t>
      </w:r>
      <w:r w:rsidRPr="00650FF3">
        <w:rPr>
          <w:rFonts w:eastAsia="MS Mincho"/>
          <w:noProof/>
          <w:szCs w:val="24"/>
          <w:lang w:eastAsia="en-GB"/>
        </w:rPr>
        <w:tab/>
        <w:t xml:space="preserve">For cell (re)selection in NR V2X sidelink communication, the </w:t>
      </w:r>
      <w:r w:rsidRPr="00650FF3">
        <w:rPr>
          <w:rFonts w:eastAsia="MS Mincho"/>
          <w:noProof/>
          <w:szCs w:val="24"/>
          <w:highlight w:val="green"/>
          <w:lang w:eastAsia="en-GB"/>
        </w:rPr>
        <w:t>cell reselection criterion</w:t>
      </w:r>
      <w:r w:rsidRPr="00650FF3">
        <w:rPr>
          <w:rFonts w:eastAsia="MS Mincho"/>
          <w:noProof/>
          <w:szCs w:val="24"/>
          <w:lang w:eastAsia="en-GB"/>
        </w:rPr>
        <w:t xml:space="preserve"> (i.e. prioritizing frequency giving inter-carrier V2X SL configuration) and configuration (i.e. SL-AnchorCarrierFreqList-V2X) in LTE V2X sidelink communication are taken as the baseline. Regarding the cell (re)selection for V2X sidelink communication in NR, </w:t>
      </w:r>
      <w:r w:rsidRPr="00650FF3">
        <w:rPr>
          <w:rFonts w:eastAsia="MS Mincho"/>
          <w:noProof/>
          <w:szCs w:val="24"/>
          <w:highlight w:val="yellow"/>
          <w:lang w:eastAsia="en-GB"/>
        </w:rPr>
        <w:t>it is FFS whether/what new criterion/configuration is needed on top of the LTE baseline.</w:t>
      </w:r>
      <w:r w:rsidRPr="00650FF3">
        <w:rPr>
          <w:rFonts w:eastAsia="MS Mincho"/>
          <w:noProof/>
          <w:szCs w:val="24"/>
          <w:lang w:eastAsia="en-GB"/>
        </w:rPr>
        <w:t xml:space="preserve"> It is up to UE implementation how to minimize the transmission/reception interruption for NR V2X sidelink communication during cell (re)selection.</w:t>
      </w:r>
    </w:p>
    <w:p w14:paraId="42900937" w14:textId="77777777" w:rsidR="00650FF3" w:rsidRPr="00650FF3" w:rsidRDefault="00650FF3" w:rsidP="00D53224">
      <w:pPr>
        <w:rPr>
          <w:rFonts w:eastAsia="Malgun Gothic"/>
          <w:lang w:eastAsia="ko-KR"/>
        </w:rPr>
      </w:pPr>
    </w:p>
    <w:p w14:paraId="7C3CC946" w14:textId="7A95FFF6" w:rsidR="00650FF3" w:rsidRDefault="00650FF3" w:rsidP="00D53224">
      <w:pPr>
        <w:rPr>
          <w:rFonts w:eastAsia="Malgun Gothic"/>
          <w:lang w:val="en-US" w:eastAsia="ko-KR"/>
        </w:rPr>
      </w:pPr>
      <w:r>
        <w:rPr>
          <w:rFonts w:eastAsia="Malgun Gothic"/>
          <w:lang w:val="en-US" w:eastAsia="ko-KR"/>
        </w:rPr>
        <w:t>In this paper, we provide our view on cell (re)selection for NR V2X SL communication.</w:t>
      </w:r>
    </w:p>
    <w:p w14:paraId="430284F4" w14:textId="77777777" w:rsidR="00650FF3" w:rsidRDefault="00650FF3" w:rsidP="00D53224">
      <w:pPr>
        <w:rPr>
          <w:rFonts w:eastAsia="Malgun Gothic"/>
          <w:lang w:val="en-US" w:eastAsia="ko-KR"/>
        </w:rPr>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353F1509" w14:textId="77777777" w:rsidR="007B6A21" w:rsidRDefault="007B6A21" w:rsidP="00937FDA">
      <w:pPr>
        <w:pStyle w:val="CRCoverPage"/>
        <w:spacing w:before="120"/>
        <w:jc w:val="both"/>
        <w:rPr>
          <w:rFonts w:eastAsia="Malgun Gothic"/>
          <w:lang w:val="en-US" w:eastAsia="ko-KR"/>
        </w:rPr>
      </w:pPr>
    </w:p>
    <w:p w14:paraId="64E7F7CA" w14:textId="39CC201B" w:rsidR="007B6A21" w:rsidRDefault="007B6A21" w:rsidP="00937FDA">
      <w:pPr>
        <w:pStyle w:val="CRCoverPage"/>
        <w:spacing w:before="120"/>
        <w:jc w:val="both"/>
        <w:rPr>
          <w:rFonts w:eastAsia="Malgun Gothic"/>
          <w:lang w:val="en-US" w:eastAsia="ko-KR"/>
        </w:rPr>
      </w:pPr>
      <w:r>
        <w:rPr>
          <w:rFonts w:eastAsia="Malgun Gothic"/>
          <w:lang w:val="en-US" w:eastAsia="ko-KR"/>
        </w:rPr>
        <w:t>In NR V2X, three aspects should be considered for cell</w:t>
      </w:r>
      <w:r w:rsidR="009206A2">
        <w:rPr>
          <w:rFonts w:eastAsia="Malgun Gothic"/>
          <w:lang w:val="en-US" w:eastAsia="ko-KR"/>
        </w:rPr>
        <w:t>/frequency</w:t>
      </w:r>
      <w:r>
        <w:rPr>
          <w:rFonts w:eastAsia="Malgun Gothic"/>
          <w:lang w:val="en-US" w:eastAsia="ko-KR"/>
        </w:rPr>
        <w:t xml:space="preserve"> reselection:</w:t>
      </w:r>
    </w:p>
    <w:p w14:paraId="71237780" w14:textId="77777777" w:rsidR="007B6A21" w:rsidRDefault="007B6A21" w:rsidP="007B6A21">
      <w:pPr>
        <w:pStyle w:val="CRCoverPage"/>
        <w:numPr>
          <w:ilvl w:val="0"/>
          <w:numId w:val="38"/>
        </w:numPr>
        <w:spacing w:before="120"/>
        <w:jc w:val="both"/>
        <w:rPr>
          <w:rFonts w:eastAsia="Malgun Gothic"/>
          <w:lang w:val="en-US" w:eastAsia="ko-KR"/>
        </w:rPr>
      </w:pPr>
      <w:r w:rsidRPr="007B6A21">
        <w:rPr>
          <w:rFonts w:eastAsia="Malgun Gothic"/>
          <w:b/>
          <w:lang w:val="en-US" w:eastAsia="ko-KR"/>
        </w:rPr>
        <w:t>UE capability</w:t>
      </w:r>
      <w:r>
        <w:rPr>
          <w:rFonts w:eastAsia="Malgun Gothic"/>
          <w:lang w:val="en-US" w:eastAsia="ko-KR"/>
        </w:rPr>
        <w:t xml:space="preserve"> : A UE may </w:t>
      </w:r>
    </w:p>
    <w:p w14:paraId="39797BD3" w14:textId="77777777" w:rsidR="007B6A21" w:rsidRDefault="007B6A21" w:rsidP="007B6A21">
      <w:pPr>
        <w:pStyle w:val="CRCoverPage"/>
        <w:numPr>
          <w:ilvl w:val="1"/>
          <w:numId w:val="38"/>
        </w:numPr>
        <w:spacing w:before="120"/>
        <w:jc w:val="both"/>
        <w:rPr>
          <w:rFonts w:eastAsia="Malgun Gothic"/>
          <w:lang w:val="en-US" w:eastAsia="ko-KR"/>
        </w:rPr>
      </w:pPr>
      <w:r>
        <w:rPr>
          <w:rFonts w:eastAsia="Malgun Gothic"/>
          <w:b/>
          <w:lang w:val="en-US" w:eastAsia="ko-KR"/>
        </w:rPr>
        <w:t>Case 1:</w:t>
      </w:r>
      <w:r>
        <w:rPr>
          <w:rFonts w:eastAsia="Malgun Gothic"/>
          <w:lang w:val="en-US" w:eastAsia="ko-KR"/>
        </w:rPr>
        <w:t xml:space="preserve"> support LTE V2X only</w:t>
      </w:r>
    </w:p>
    <w:p w14:paraId="30DB32D2" w14:textId="77777777" w:rsidR="007B6A21" w:rsidRDefault="007B6A21" w:rsidP="007B6A21">
      <w:pPr>
        <w:pStyle w:val="CRCoverPage"/>
        <w:numPr>
          <w:ilvl w:val="1"/>
          <w:numId w:val="38"/>
        </w:numPr>
        <w:spacing w:before="120"/>
        <w:jc w:val="both"/>
        <w:rPr>
          <w:rFonts w:eastAsia="Malgun Gothic"/>
          <w:lang w:val="en-US" w:eastAsia="ko-KR"/>
        </w:rPr>
      </w:pPr>
      <w:r>
        <w:rPr>
          <w:rFonts w:eastAsia="Malgun Gothic"/>
          <w:b/>
          <w:lang w:val="en-US" w:eastAsia="ko-KR"/>
        </w:rPr>
        <w:t>Case 2:</w:t>
      </w:r>
      <w:r>
        <w:rPr>
          <w:rFonts w:eastAsia="Malgun Gothic"/>
          <w:lang w:val="en-US" w:eastAsia="ko-KR"/>
        </w:rPr>
        <w:t xml:space="preserve"> support NR V2X only</w:t>
      </w:r>
    </w:p>
    <w:p w14:paraId="5016C2CD" w14:textId="0B75DA02" w:rsidR="007B6A21" w:rsidRDefault="007B6A21" w:rsidP="007B6A21">
      <w:pPr>
        <w:pStyle w:val="CRCoverPage"/>
        <w:numPr>
          <w:ilvl w:val="1"/>
          <w:numId w:val="38"/>
        </w:numPr>
        <w:spacing w:before="120"/>
        <w:jc w:val="both"/>
        <w:rPr>
          <w:rFonts w:eastAsia="Malgun Gothic"/>
          <w:lang w:val="en-US" w:eastAsia="ko-KR"/>
        </w:rPr>
      </w:pPr>
      <w:r>
        <w:rPr>
          <w:rFonts w:eastAsia="Malgun Gothic"/>
          <w:b/>
          <w:lang w:val="en-US" w:eastAsia="ko-KR"/>
        </w:rPr>
        <w:t>Case 3:</w:t>
      </w:r>
      <w:r>
        <w:rPr>
          <w:rFonts w:eastAsia="Malgun Gothic"/>
          <w:lang w:val="en-US" w:eastAsia="ko-KR"/>
        </w:rPr>
        <w:t xml:space="preserve"> support both LTE V2X and NR V2X</w:t>
      </w:r>
    </w:p>
    <w:p w14:paraId="0C3A3652" w14:textId="07A06007" w:rsidR="007B6A21" w:rsidRPr="007B6A21" w:rsidRDefault="007B6A21" w:rsidP="007B6A21">
      <w:pPr>
        <w:pStyle w:val="CRCoverPage"/>
        <w:numPr>
          <w:ilvl w:val="0"/>
          <w:numId w:val="38"/>
        </w:numPr>
        <w:spacing w:before="120"/>
        <w:jc w:val="both"/>
        <w:rPr>
          <w:rFonts w:eastAsia="Malgun Gothic"/>
          <w:lang w:val="en-US" w:eastAsia="ko-KR"/>
        </w:rPr>
      </w:pPr>
      <w:r>
        <w:rPr>
          <w:rFonts w:eastAsia="Malgun Gothic"/>
          <w:b/>
          <w:lang w:val="en-US" w:eastAsia="ko-KR"/>
        </w:rPr>
        <w:t>Supported RAT of the frequency: A frequency may</w:t>
      </w:r>
    </w:p>
    <w:p w14:paraId="43394888" w14:textId="052970FB" w:rsidR="007B6A21" w:rsidRPr="007B6A21" w:rsidRDefault="007B6A21" w:rsidP="007B6A21">
      <w:pPr>
        <w:pStyle w:val="CRCoverPage"/>
        <w:numPr>
          <w:ilvl w:val="1"/>
          <w:numId w:val="38"/>
        </w:numPr>
        <w:spacing w:before="120"/>
        <w:jc w:val="both"/>
        <w:rPr>
          <w:rFonts w:eastAsia="Malgun Gothic"/>
          <w:lang w:val="en-US" w:eastAsia="ko-KR"/>
        </w:rPr>
      </w:pPr>
      <w:r>
        <w:rPr>
          <w:rFonts w:eastAsia="Malgun Gothic"/>
          <w:b/>
          <w:lang w:val="en-US" w:eastAsia="ko-KR"/>
        </w:rPr>
        <w:t xml:space="preserve">Case 1: </w:t>
      </w:r>
      <w:r w:rsidRPr="00DB79CC">
        <w:rPr>
          <w:rFonts w:eastAsia="Malgun Gothic"/>
          <w:lang w:val="en-US" w:eastAsia="ko-KR"/>
        </w:rPr>
        <w:t>Provide LTE V2X SL configuration only</w:t>
      </w:r>
    </w:p>
    <w:p w14:paraId="14B3477C" w14:textId="17CE94E9" w:rsidR="007B6A21" w:rsidRDefault="007B6A21" w:rsidP="007B6A21">
      <w:pPr>
        <w:pStyle w:val="CRCoverPage"/>
        <w:numPr>
          <w:ilvl w:val="1"/>
          <w:numId w:val="38"/>
        </w:numPr>
        <w:spacing w:before="120"/>
        <w:jc w:val="both"/>
        <w:rPr>
          <w:rFonts w:eastAsia="Malgun Gothic"/>
          <w:lang w:val="en-US" w:eastAsia="ko-KR"/>
        </w:rPr>
      </w:pPr>
      <w:r>
        <w:rPr>
          <w:rFonts w:eastAsia="Malgun Gothic"/>
          <w:b/>
          <w:lang w:val="en-US" w:eastAsia="ko-KR"/>
        </w:rPr>
        <w:t xml:space="preserve">Case 2: </w:t>
      </w:r>
      <w:r w:rsidRPr="00DB79CC">
        <w:rPr>
          <w:rFonts w:eastAsia="Malgun Gothic"/>
          <w:lang w:val="en-US" w:eastAsia="ko-KR"/>
        </w:rPr>
        <w:t>Provide NR V2X SL configuration only</w:t>
      </w:r>
    </w:p>
    <w:p w14:paraId="3CCA13D3" w14:textId="28FCBA0B" w:rsidR="007B6A21" w:rsidRDefault="007B6A21" w:rsidP="007B6A21">
      <w:pPr>
        <w:pStyle w:val="CRCoverPage"/>
        <w:numPr>
          <w:ilvl w:val="1"/>
          <w:numId w:val="38"/>
        </w:numPr>
        <w:spacing w:before="120"/>
        <w:jc w:val="both"/>
        <w:rPr>
          <w:rFonts w:eastAsia="Malgun Gothic"/>
          <w:lang w:val="en-US" w:eastAsia="ko-KR"/>
        </w:rPr>
      </w:pPr>
      <w:r>
        <w:rPr>
          <w:rFonts w:eastAsia="Malgun Gothic"/>
          <w:b/>
          <w:lang w:val="en-US" w:eastAsia="ko-KR"/>
        </w:rPr>
        <w:t xml:space="preserve">Case 3: </w:t>
      </w:r>
      <w:r w:rsidRPr="00DB79CC">
        <w:rPr>
          <w:rFonts w:eastAsia="Malgun Gothic"/>
          <w:lang w:val="en-US" w:eastAsia="ko-KR"/>
        </w:rPr>
        <w:t>Provide both LTE V2X and NR V2X SL configuration</w:t>
      </w:r>
    </w:p>
    <w:p w14:paraId="5AE85980" w14:textId="7E48EBEC" w:rsidR="00DB79CC" w:rsidRDefault="00DB79CC" w:rsidP="00DB79CC">
      <w:pPr>
        <w:pStyle w:val="CRCoverPage"/>
        <w:numPr>
          <w:ilvl w:val="0"/>
          <w:numId w:val="38"/>
        </w:numPr>
        <w:spacing w:before="120"/>
        <w:jc w:val="both"/>
        <w:rPr>
          <w:rFonts w:eastAsia="Malgun Gothic"/>
          <w:lang w:val="en-US" w:eastAsia="ko-KR"/>
        </w:rPr>
      </w:pPr>
      <w:r>
        <w:rPr>
          <w:rFonts w:eastAsia="Malgun Gothic"/>
          <w:b/>
          <w:lang w:val="en-US" w:eastAsia="ko-KR"/>
        </w:rPr>
        <w:t xml:space="preserve">Supported RAT associated with a V2X service: </w:t>
      </w:r>
      <w:r w:rsidRPr="00DB79CC">
        <w:rPr>
          <w:rFonts w:eastAsia="Malgun Gothic"/>
          <w:lang w:val="en-US" w:eastAsia="ko-KR"/>
        </w:rPr>
        <w:t>A V2X service may</w:t>
      </w:r>
      <w:r w:rsidR="006F63AC">
        <w:rPr>
          <w:rFonts w:eastAsia="Malgun Gothic"/>
          <w:lang w:val="en-US" w:eastAsia="ko-KR"/>
        </w:rPr>
        <w:t xml:space="preserve"> </w:t>
      </w:r>
    </w:p>
    <w:p w14:paraId="09405693" w14:textId="55CA8289" w:rsidR="00DB79CC" w:rsidRDefault="00DB79CC" w:rsidP="00DB79CC">
      <w:pPr>
        <w:pStyle w:val="CRCoverPage"/>
        <w:numPr>
          <w:ilvl w:val="1"/>
          <w:numId w:val="38"/>
        </w:numPr>
        <w:spacing w:before="120"/>
        <w:jc w:val="both"/>
        <w:rPr>
          <w:rFonts w:eastAsia="Malgun Gothic"/>
          <w:lang w:val="en-US" w:eastAsia="ko-KR"/>
        </w:rPr>
      </w:pPr>
      <w:r>
        <w:rPr>
          <w:rFonts w:eastAsia="Malgun Gothic"/>
          <w:b/>
          <w:lang w:val="en-US" w:eastAsia="ko-KR"/>
        </w:rPr>
        <w:t>Case 1:</w:t>
      </w:r>
      <w:r>
        <w:rPr>
          <w:rFonts w:eastAsia="Malgun Gothic"/>
          <w:lang w:val="en-US" w:eastAsia="ko-KR"/>
        </w:rPr>
        <w:t xml:space="preserve"> associated with </w:t>
      </w:r>
      <w:r w:rsidRPr="00DB79CC">
        <w:rPr>
          <w:rFonts w:eastAsia="Malgun Gothic"/>
          <w:lang w:val="en-US" w:eastAsia="ko-KR"/>
        </w:rPr>
        <w:t xml:space="preserve">LTE </w:t>
      </w:r>
      <w:r w:rsidR="006F2D24">
        <w:rPr>
          <w:rFonts w:eastAsia="Malgun Gothic"/>
          <w:lang w:val="en-US" w:eastAsia="ko-KR"/>
        </w:rPr>
        <w:t>RAT only</w:t>
      </w:r>
    </w:p>
    <w:p w14:paraId="665B7F28" w14:textId="6A86FD8E" w:rsidR="00645095" w:rsidRDefault="00DB79CC" w:rsidP="00645095">
      <w:pPr>
        <w:pStyle w:val="CRCoverPage"/>
        <w:numPr>
          <w:ilvl w:val="1"/>
          <w:numId w:val="38"/>
        </w:numPr>
        <w:spacing w:before="120"/>
        <w:jc w:val="both"/>
        <w:rPr>
          <w:rFonts w:eastAsia="Malgun Gothic"/>
          <w:lang w:val="en-US" w:eastAsia="ko-KR"/>
        </w:rPr>
      </w:pPr>
      <w:r>
        <w:rPr>
          <w:rFonts w:eastAsia="Malgun Gothic"/>
          <w:b/>
          <w:lang w:val="en-US" w:eastAsia="ko-KR"/>
        </w:rPr>
        <w:t>Case 2:</w:t>
      </w:r>
      <w:r>
        <w:rPr>
          <w:rFonts w:eastAsia="Malgun Gothic"/>
          <w:lang w:val="en-US" w:eastAsia="ko-KR"/>
        </w:rPr>
        <w:t xml:space="preserve"> associated with </w:t>
      </w:r>
      <w:r w:rsidR="00645095">
        <w:rPr>
          <w:rFonts w:eastAsia="Malgun Gothic"/>
          <w:lang w:val="en-US" w:eastAsia="ko-KR"/>
        </w:rPr>
        <w:t>NR</w:t>
      </w:r>
      <w:r w:rsidRPr="00DB79CC">
        <w:rPr>
          <w:rFonts w:eastAsia="Malgun Gothic"/>
          <w:lang w:val="en-US" w:eastAsia="ko-KR"/>
        </w:rPr>
        <w:t xml:space="preserve"> </w:t>
      </w:r>
      <w:r w:rsidR="006F2D24">
        <w:rPr>
          <w:rFonts w:eastAsia="Malgun Gothic"/>
          <w:lang w:val="en-US" w:eastAsia="ko-KR"/>
        </w:rPr>
        <w:t>RAT only</w:t>
      </w:r>
    </w:p>
    <w:p w14:paraId="4ADEA290" w14:textId="7155AF3E" w:rsidR="00B05064" w:rsidRDefault="00B05064" w:rsidP="006F2D24">
      <w:pPr>
        <w:pStyle w:val="CRCoverPage"/>
        <w:numPr>
          <w:ilvl w:val="1"/>
          <w:numId w:val="38"/>
        </w:numPr>
        <w:spacing w:before="120"/>
        <w:jc w:val="both"/>
        <w:rPr>
          <w:rFonts w:eastAsia="Malgun Gothic"/>
          <w:lang w:val="en-US" w:eastAsia="ko-KR"/>
        </w:rPr>
      </w:pPr>
      <w:r>
        <w:rPr>
          <w:rFonts w:eastAsia="Malgun Gothic"/>
          <w:b/>
          <w:lang w:val="en-US" w:eastAsia="ko-KR"/>
        </w:rPr>
        <w:lastRenderedPageBreak/>
        <w:t>Case 3:</w:t>
      </w:r>
      <w:r>
        <w:rPr>
          <w:rFonts w:eastAsia="Malgun Gothic"/>
          <w:lang w:val="en-US" w:eastAsia="ko-KR"/>
        </w:rPr>
        <w:t xml:space="preserve"> associated with </w:t>
      </w:r>
      <w:r w:rsidR="006F2D24" w:rsidRPr="006F2D24">
        <w:rPr>
          <w:rFonts w:eastAsia="Malgun Gothic"/>
          <w:lang w:val="en-US" w:eastAsia="ko-KR"/>
        </w:rPr>
        <w:t>LTE or NR RAT</w:t>
      </w:r>
    </w:p>
    <w:p w14:paraId="0E3B10D0" w14:textId="6A0EE6BF" w:rsidR="006F2D24" w:rsidRPr="006F2D24" w:rsidRDefault="006F2D24" w:rsidP="00390848">
      <w:pPr>
        <w:pStyle w:val="CRCoverPage"/>
        <w:numPr>
          <w:ilvl w:val="1"/>
          <w:numId w:val="38"/>
        </w:numPr>
        <w:spacing w:before="120"/>
        <w:jc w:val="both"/>
        <w:rPr>
          <w:rFonts w:eastAsia="Malgun Gothic"/>
          <w:lang w:val="en-US" w:eastAsia="ko-KR"/>
        </w:rPr>
      </w:pPr>
      <w:r w:rsidRPr="006F2D24">
        <w:rPr>
          <w:rFonts w:eastAsia="Malgun Gothic"/>
          <w:b/>
          <w:lang w:val="en-US" w:eastAsia="ko-KR"/>
        </w:rPr>
        <w:t>Case 4:</w:t>
      </w:r>
      <w:r w:rsidRPr="006F2D24">
        <w:rPr>
          <w:rFonts w:eastAsia="Malgun Gothic"/>
          <w:lang w:val="en-US" w:eastAsia="ko-KR"/>
        </w:rPr>
        <w:t xml:space="preserve"> associated with LTE </w:t>
      </w:r>
      <w:r>
        <w:rPr>
          <w:rFonts w:eastAsia="Malgun Gothic"/>
          <w:lang w:val="en-US" w:eastAsia="ko-KR"/>
        </w:rPr>
        <w:t>and</w:t>
      </w:r>
      <w:r w:rsidRPr="006F2D24">
        <w:rPr>
          <w:rFonts w:eastAsia="Malgun Gothic"/>
          <w:lang w:val="en-US" w:eastAsia="ko-KR"/>
        </w:rPr>
        <w:t xml:space="preserve"> NR RAT</w:t>
      </w:r>
    </w:p>
    <w:p w14:paraId="4E8FB49E" w14:textId="79B52B72" w:rsidR="00B05064" w:rsidRDefault="00B05064" w:rsidP="00645095">
      <w:pPr>
        <w:pStyle w:val="CRCoverPage"/>
        <w:numPr>
          <w:ilvl w:val="1"/>
          <w:numId w:val="38"/>
        </w:numPr>
        <w:spacing w:before="120"/>
        <w:jc w:val="both"/>
        <w:rPr>
          <w:rFonts w:eastAsia="Malgun Gothic"/>
          <w:lang w:val="en-US" w:eastAsia="ko-KR"/>
        </w:rPr>
      </w:pPr>
      <w:r w:rsidRPr="00B05064">
        <w:rPr>
          <w:rFonts w:eastAsia="Malgun Gothic"/>
          <w:lang w:val="en-US" w:eastAsia="ko-KR"/>
        </w:rPr>
        <w:t>Notice that the RAT used for the V2X service is determined by upper layer</w:t>
      </w:r>
    </w:p>
    <w:p w14:paraId="457A74B2" w14:textId="22FE465F" w:rsidR="006F2D24" w:rsidRPr="003B0476" w:rsidRDefault="006F2D24" w:rsidP="006F2D24">
      <w:pPr>
        <w:pStyle w:val="ListParagraph"/>
        <w:numPr>
          <w:ilvl w:val="0"/>
          <w:numId w:val="38"/>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3B0476">
        <w:rPr>
          <w:rFonts w:eastAsia="MS Mincho"/>
          <w:szCs w:val="24"/>
          <w:lang w:eastAsia="en-GB"/>
        </w:rPr>
        <w:t>RAN2# 104 Agreements</w:t>
      </w:r>
    </w:p>
    <w:p w14:paraId="05DBAD34" w14:textId="77777777" w:rsidR="006F2D24" w:rsidRPr="003B0476" w:rsidRDefault="006F2D24" w:rsidP="006F2D24">
      <w:pPr>
        <w:pStyle w:val="ListParagraph"/>
        <w:numPr>
          <w:ilvl w:val="0"/>
          <w:numId w:val="38"/>
        </w:numPr>
        <w:pBdr>
          <w:top w:val="single" w:sz="4" w:space="1" w:color="auto"/>
          <w:left w:val="single" w:sz="4" w:space="4" w:color="auto"/>
          <w:bottom w:val="single" w:sz="4" w:space="1" w:color="auto"/>
          <w:right w:val="single" w:sz="4" w:space="4" w:color="auto"/>
        </w:pBdr>
        <w:tabs>
          <w:tab w:val="left" w:pos="1622"/>
        </w:tabs>
        <w:spacing w:after="0"/>
        <w:rPr>
          <w:rFonts w:eastAsia="MS Mincho"/>
          <w:noProof/>
          <w:szCs w:val="24"/>
          <w:lang w:eastAsia="en-GB"/>
        </w:rPr>
      </w:pPr>
      <w:r w:rsidRPr="003B0476">
        <w:rPr>
          <w:rFonts w:eastAsia="MS Mincho"/>
          <w:szCs w:val="24"/>
          <w:lang w:eastAsia="en-GB"/>
        </w:rPr>
        <w:t>1:</w:t>
      </w:r>
      <w:r w:rsidRPr="003B0476">
        <w:rPr>
          <w:rFonts w:eastAsia="MS Mincho"/>
          <w:szCs w:val="24"/>
          <w:lang w:eastAsia="en-GB"/>
        </w:rPr>
        <w:tab/>
      </w:r>
      <w:r w:rsidRPr="003B0476">
        <w:rPr>
          <w:rFonts w:eastAsia="MS Mincho"/>
          <w:noProof/>
          <w:szCs w:val="24"/>
          <w:lang w:eastAsia="en-GB"/>
        </w:rPr>
        <w:t>RAN2 assumes that the candidate RAT(s) with SL should be associated with service type by upper layer.</w:t>
      </w:r>
    </w:p>
    <w:p w14:paraId="579063E1" w14:textId="77777777" w:rsidR="006F2D24" w:rsidRPr="003B0476" w:rsidRDefault="006F2D24" w:rsidP="006F2D24">
      <w:pPr>
        <w:pStyle w:val="ListParagraph"/>
        <w:numPr>
          <w:ilvl w:val="0"/>
          <w:numId w:val="38"/>
        </w:numPr>
        <w:pBdr>
          <w:top w:val="single" w:sz="4" w:space="1" w:color="auto"/>
          <w:left w:val="single" w:sz="4" w:space="4" w:color="auto"/>
          <w:bottom w:val="single" w:sz="4" w:space="1" w:color="auto"/>
          <w:right w:val="single" w:sz="4" w:space="4" w:color="auto"/>
        </w:pBdr>
        <w:tabs>
          <w:tab w:val="left" w:pos="1622"/>
        </w:tabs>
        <w:spacing w:after="0"/>
        <w:rPr>
          <w:rFonts w:eastAsia="MS Mincho"/>
          <w:noProof/>
          <w:szCs w:val="24"/>
          <w:lang w:eastAsia="en-GB"/>
        </w:rPr>
      </w:pPr>
      <w:r w:rsidRPr="003B0476">
        <w:rPr>
          <w:rFonts w:eastAsia="MS Mincho"/>
          <w:noProof/>
          <w:szCs w:val="24"/>
          <w:lang w:eastAsia="en-GB"/>
        </w:rPr>
        <w:t>2:</w:t>
      </w:r>
      <w:r w:rsidRPr="003B0476">
        <w:rPr>
          <w:rFonts w:eastAsia="MS Mincho"/>
          <w:noProof/>
          <w:szCs w:val="24"/>
          <w:lang w:eastAsia="en-GB"/>
        </w:rPr>
        <w:tab/>
        <w:t>RAN2 assumes for a given V2X service type, it may be associated with: 1) LTE RAT only, 2) NR RAT only, FFS on 3) LTE or NR RAT and 4) LTE and NR RAT. We can ask SA2 suggestion/guideline on 3) and 4).</w:t>
      </w:r>
    </w:p>
    <w:p w14:paraId="59548D39" w14:textId="77777777" w:rsidR="006F2D24" w:rsidRPr="003B0476" w:rsidRDefault="006F2D24" w:rsidP="006F2D24">
      <w:pPr>
        <w:pStyle w:val="ListParagraph"/>
        <w:numPr>
          <w:ilvl w:val="0"/>
          <w:numId w:val="38"/>
        </w:numPr>
        <w:pBdr>
          <w:top w:val="single" w:sz="4" w:space="1" w:color="auto"/>
          <w:left w:val="single" w:sz="4" w:space="4" w:color="auto"/>
          <w:bottom w:val="single" w:sz="4" w:space="1" w:color="auto"/>
          <w:right w:val="single" w:sz="4" w:space="4" w:color="auto"/>
        </w:pBdr>
        <w:tabs>
          <w:tab w:val="left" w:pos="1622"/>
        </w:tabs>
        <w:spacing w:after="0"/>
        <w:rPr>
          <w:rFonts w:eastAsia="MS Mincho"/>
          <w:noProof/>
          <w:szCs w:val="24"/>
          <w:lang w:eastAsia="en-GB"/>
        </w:rPr>
      </w:pPr>
      <w:r w:rsidRPr="003B0476">
        <w:rPr>
          <w:rFonts w:eastAsia="MS Mincho"/>
          <w:noProof/>
          <w:szCs w:val="24"/>
          <w:lang w:eastAsia="en-GB"/>
        </w:rPr>
        <w:t>3:</w:t>
      </w:r>
      <w:r w:rsidRPr="003B0476">
        <w:rPr>
          <w:rFonts w:eastAsia="MS Mincho"/>
          <w:noProof/>
          <w:szCs w:val="24"/>
          <w:lang w:eastAsia="en-GB"/>
        </w:rPr>
        <w:tab/>
        <w:t>RAN2 assumes Tx profile based approach is considered as baseline for RAT selection of SL. RAN2 is suggested to further discuss the RAN2 impacts of V2X service type and RAT mapping approach.</w:t>
      </w:r>
    </w:p>
    <w:p w14:paraId="1BBA9F6C" w14:textId="77777777" w:rsidR="006F2D24" w:rsidRPr="003B0476" w:rsidRDefault="006F2D24" w:rsidP="006F2D24">
      <w:pPr>
        <w:pStyle w:val="ListParagraph"/>
        <w:numPr>
          <w:ilvl w:val="0"/>
          <w:numId w:val="38"/>
        </w:numPr>
        <w:pBdr>
          <w:top w:val="single" w:sz="4" w:space="1" w:color="auto"/>
          <w:left w:val="single" w:sz="4" w:space="4" w:color="auto"/>
          <w:bottom w:val="single" w:sz="4" w:space="1" w:color="auto"/>
          <w:right w:val="single" w:sz="4" w:space="4" w:color="auto"/>
        </w:pBdr>
        <w:tabs>
          <w:tab w:val="left" w:pos="1622"/>
        </w:tabs>
        <w:spacing w:after="0"/>
        <w:rPr>
          <w:rFonts w:eastAsia="MS Mincho"/>
          <w:noProof/>
          <w:szCs w:val="24"/>
          <w:lang w:eastAsia="en-GB"/>
        </w:rPr>
      </w:pPr>
      <w:r w:rsidRPr="003B0476">
        <w:rPr>
          <w:rFonts w:eastAsia="MS Mincho"/>
          <w:szCs w:val="24"/>
          <w:lang w:eastAsia="en-GB"/>
        </w:rPr>
        <w:t>4:</w:t>
      </w:r>
      <w:r w:rsidRPr="003B0476">
        <w:rPr>
          <w:rFonts w:eastAsia="MS Mincho"/>
          <w:szCs w:val="24"/>
          <w:lang w:eastAsia="en-GB"/>
        </w:rPr>
        <w:tab/>
      </w:r>
      <w:r w:rsidRPr="003B0476">
        <w:rPr>
          <w:rFonts w:eastAsia="MS Mincho"/>
          <w:noProof/>
          <w:szCs w:val="24"/>
          <w:lang w:eastAsia="en-GB"/>
        </w:rPr>
        <w:t>RAN2 assumes RAT selection is only applied to V2X broadcast and for any V2X unicast and groupcast service, it is communicated over NR only. We will ask if SA2 has any concern/feedback on it.</w:t>
      </w:r>
    </w:p>
    <w:p w14:paraId="6182B24C" w14:textId="77777777" w:rsidR="006F2D24" w:rsidRPr="003B0476" w:rsidRDefault="006F2D24" w:rsidP="006F2D24">
      <w:pPr>
        <w:pStyle w:val="ListParagraph"/>
        <w:numPr>
          <w:ilvl w:val="0"/>
          <w:numId w:val="38"/>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3B0476">
        <w:rPr>
          <w:rFonts w:eastAsia="MS Mincho"/>
          <w:noProof/>
          <w:szCs w:val="24"/>
          <w:lang w:eastAsia="en-GB"/>
        </w:rPr>
        <w:t>5:</w:t>
      </w:r>
      <w:r w:rsidRPr="003B0476">
        <w:rPr>
          <w:rFonts w:eastAsia="MS Mincho"/>
          <w:noProof/>
          <w:szCs w:val="24"/>
          <w:lang w:eastAsia="en-GB"/>
        </w:rPr>
        <w:tab/>
        <w:t>The availability of Uu/PC5 will be informed to upper layer and the upper layer performs the Uu/PC5 interface selection. FFS on what availability implies, how AS to decide availability of Uu/PC5 and whether we need to specify it.</w:t>
      </w:r>
    </w:p>
    <w:p w14:paraId="3650A5EE" w14:textId="77777777" w:rsidR="00B05064" w:rsidRPr="006F2D24" w:rsidRDefault="00B05064" w:rsidP="00B05064">
      <w:pPr>
        <w:pStyle w:val="CRCoverPage"/>
        <w:spacing w:before="120"/>
        <w:ind w:left="1440"/>
        <w:jc w:val="both"/>
        <w:rPr>
          <w:rFonts w:eastAsia="Malgun Gothic"/>
          <w:lang w:eastAsia="ko-KR"/>
        </w:rPr>
      </w:pPr>
    </w:p>
    <w:p w14:paraId="747D3A8C" w14:textId="7A184CA6" w:rsidR="00DB79CC" w:rsidRPr="002E6FE0" w:rsidRDefault="00645095" w:rsidP="00645095">
      <w:pPr>
        <w:pStyle w:val="CRCoverPage"/>
        <w:spacing w:before="120"/>
        <w:jc w:val="both"/>
        <w:rPr>
          <w:rFonts w:eastAsia="Malgun Gothic"/>
          <w:b/>
          <w:lang w:val="en-US" w:eastAsia="ko-KR"/>
        </w:rPr>
      </w:pPr>
      <w:r w:rsidRPr="002E6FE0">
        <w:rPr>
          <w:rFonts w:eastAsia="Malgun Gothic"/>
          <w:b/>
          <w:lang w:val="en-US" w:eastAsia="ko-KR"/>
        </w:rPr>
        <w:t>Observation</w:t>
      </w:r>
      <w:r w:rsidR="00C704F2">
        <w:rPr>
          <w:rFonts w:eastAsia="Malgun Gothic"/>
          <w:b/>
          <w:lang w:val="en-US" w:eastAsia="ko-KR"/>
        </w:rPr>
        <w:t xml:space="preserve"> 1</w:t>
      </w:r>
      <w:r w:rsidRPr="002E6FE0">
        <w:rPr>
          <w:rFonts w:eastAsia="Malgun Gothic"/>
          <w:b/>
          <w:lang w:val="en-US" w:eastAsia="ko-KR"/>
        </w:rPr>
        <w:t>: UE capability, supported RAT of the frequency</w:t>
      </w:r>
      <w:r w:rsidR="00C704F2">
        <w:rPr>
          <w:rFonts w:eastAsia="Malgun Gothic"/>
          <w:b/>
          <w:lang w:val="en-US" w:eastAsia="ko-KR"/>
        </w:rPr>
        <w:t xml:space="preserve"> (only for broadcast)</w:t>
      </w:r>
      <w:r w:rsidRPr="002E6FE0">
        <w:rPr>
          <w:rFonts w:eastAsia="Malgun Gothic"/>
          <w:b/>
          <w:lang w:val="en-US" w:eastAsia="ko-KR"/>
        </w:rPr>
        <w:t>, and associated RAT of the V2X service UE is interested in should be taken into account for cell (re)selection.</w:t>
      </w:r>
    </w:p>
    <w:p w14:paraId="213E8F61" w14:textId="77777777" w:rsidR="002E6FE0" w:rsidRDefault="002E6FE0" w:rsidP="00645095">
      <w:pPr>
        <w:pStyle w:val="CRCoverPage"/>
        <w:spacing w:before="120"/>
        <w:jc w:val="both"/>
        <w:rPr>
          <w:rFonts w:eastAsia="Malgun Gothic"/>
          <w:lang w:val="en-US" w:eastAsia="ko-KR"/>
        </w:rPr>
      </w:pPr>
    </w:p>
    <w:p w14:paraId="7A5E48DF" w14:textId="4C735A16" w:rsidR="002E6FE0" w:rsidRDefault="002E6FE0" w:rsidP="00645095">
      <w:pPr>
        <w:pStyle w:val="CRCoverPage"/>
        <w:spacing w:before="120"/>
        <w:jc w:val="both"/>
        <w:rPr>
          <w:rFonts w:eastAsia="Malgun Gothic"/>
          <w:lang w:val="en-US" w:eastAsia="ko-KR"/>
        </w:rPr>
      </w:pPr>
      <w:r>
        <w:rPr>
          <w:rFonts w:eastAsia="Malgun Gothic"/>
          <w:lang w:val="en-US" w:eastAsia="ko-KR"/>
        </w:rPr>
        <w:t>If UE supports both LTE V2X and NR V2X, then UE can prioritize frequencies supporting both LTE V2X and NR V2X. The reason is that by this way UE need not (re)select cell if later on UE are interested in V2X services associated with different RAT at the same time.</w:t>
      </w:r>
    </w:p>
    <w:p w14:paraId="780F3482" w14:textId="77777777" w:rsidR="002E6FE0" w:rsidRDefault="002E6FE0" w:rsidP="00645095">
      <w:pPr>
        <w:pStyle w:val="CRCoverPage"/>
        <w:spacing w:before="120"/>
        <w:jc w:val="both"/>
        <w:rPr>
          <w:rFonts w:eastAsia="Malgun Gothic"/>
          <w:lang w:val="en-US" w:eastAsia="ko-KR"/>
        </w:rPr>
      </w:pPr>
    </w:p>
    <w:p w14:paraId="4EFA7C7E" w14:textId="114177F1" w:rsidR="00B05064" w:rsidRPr="002654E2" w:rsidRDefault="00B05064" w:rsidP="00645095">
      <w:pPr>
        <w:pStyle w:val="CRCoverPage"/>
        <w:spacing w:before="120"/>
        <w:jc w:val="both"/>
        <w:rPr>
          <w:rFonts w:eastAsia="Malgun Gothic"/>
          <w:b/>
          <w:lang w:val="en-US" w:eastAsia="ko-KR"/>
        </w:rPr>
      </w:pPr>
      <w:r w:rsidRPr="002654E2">
        <w:rPr>
          <w:rFonts w:eastAsia="Malgun Gothic"/>
          <w:b/>
          <w:lang w:val="en-US" w:eastAsia="ko-KR"/>
        </w:rPr>
        <w:t>Observation</w:t>
      </w:r>
      <w:r w:rsidR="00C704F2">
        <w:rPr>
          <w:rFonts w:eastAsia="Malgun Gothic"/>
          <w:b/>
          <w:lang w:val="en-US" w:eastAsia="ko-KR"/>
        </w:rPr>
        <w:t xml:space="preserve"> 2</w:t>
      </w:r>
      <w:r w:rsidRPr="002654E2">
        <w:rPr>
          <w:rFonts w:eastAsia="Malgun Gothic"/>
          <w:b/>
          <w:lang w:val="en-US" w:eastAsia="ko-KR"/>
        </w:rPr>
        <w:t>: If UE supports both LTE V2X and NR V2X, prioritize the frequencies supporting both LTE V2X and NR V2X avoid additional cell (re)selection.</w:t>
      </w:r>
    </w:p>
    <w:p w14:paraId="3B66331D" w14:textId="77777777" w:rsidR="00B05064" w:rsidRDefault="00B05064" w:rsidP="00645095">
      <w:pPr>
        <w:pStyle w:val="CRCoverPage"/>
        <w:spacing w:before="120"/>
        <w:jc w:val="both"/>
        <w:rPr>
          <w:rFonts w:eastAsia="Malgun Gothic"/>
          <w:lang w:val="en-US" w:eastAsia="ko-KR"/>
        </w:rPr>
      </w:pPr>
    </w:p>
    <w:p w14:paraId="5AC3A644" w14:textId="1921638E" w:rsidR="00B05064" w:rsidRPr="002654E2" w:rsidRDefault="00B05064" w:rsidP="00645095">
      <w:pPr>
        <w:pStyle w:val="CRCoverPage"/>
        <w:spacing w:before="120"/>
        <w:jc w:val="both"/>
        <w:rPr>
          <w:rFonts w:eastAsia="Malgun Gothic"/>
          <w:b/>
          <w:lang w:val="en-US" w:eastAsia="ko-KR"/>
        </w:rPr>
      </w:pPr>
      <w:r w:rsidRPr="002654E2">
        <w:rPr>
          <w:rFonts w:eastAsia="Malgun Gothic"/>
          <w:b/>
          <w:lang w:val="en-US" w:eastAsia="ko-KR"/>
        </w:rPr>
        <w:t>Proposal 1: If UE supports both LTE V2X and NR V2X, UE prioritize the frequencies supporting both RAT over the frequencies supporting single RAT.</w:t>
      </w:r>
    </w:p>
    <w:p w14:paraId="160165A8" w14:textId="77777777" w:rsidR="007A7B4F" w:rsidRDefault="007A7B4F" w:rsidP="00645095">
      <w:pPr>
        <w:pStyle w:val="CRCoverPage"/>
        <w:spacing w:before="120"/>
        <w:jc w:val="both"/>
        <w:rPr>
          <w:rFonts w:eastAsia="Malgun Gothic"/>
          <w:b/>
          <w:lang w:val="en-US" w:eastAsia="ko-KR"/>
        </w:rPr>
      </w:pPr>
    </w:p>
    <w:p w14:paraId="795BA645" w14:textId="6D38CC1A" w:rsidR="007A7B4F" w:rsidRPr="003C73D5" w:rsidRDefault="003C73D5" w:rsidP="00645095">
      <w:pPr>
        <w:pStyle w:val="CRCoverPage"/>
        <w:spacing w:before="120"/>
        <w:jc w:val="both"/>
        <w:rPr>
          <w:rFonts w:eastAsia="Malgun Gothic"/>
          <w:lang w:val="en-US" w:eastAsia="ko-KR"/>
        </w:rPr>
      </w:pPr>
      <w:r w:rsidRPr="003C73D5">
        <w:rPr>
          <w:rFonts w:eastAsia="Malgun Gothic"/>
          <w:lang w:val="en-US" w:eastAsia="ko-KR"/>
        </w:rPr>
        <w:t>Instead, i</w:t>
      </w:r>
      <w:r w:rsidR="007A7B4F" w:rsidRPr="003C73D5">
        <w:rPr>
          <w:rFonts w:eastAsia="Malgun Gothic"/>
          <w:lang w:val="en-US" w:eastAsia="ko-KR"/>
        </w:rPr>
        <w:t>f UE supports both LTE V2X and NR V2X, but actually UE cannot find an available frequency supporting both LTE V2X and NR V2X, then UE should select a frequency which support either LTE V2X only or NR V2X only. The</w:t>
      </w:r>
      <w:r>
        <w:rPr>
          <w:rFonts w:eastAsia="Malgun Gothic"/>
          <w:lang w:val="en-US" w:eastAsia="ko-KR"/>
        </w:rPr>
        <w:t xml:space="preserve"> RAT of the selected frequency should be associated with/ support</w:t>
      </w:r>
      <w:r w:rsidR="007A7B4F" w:rsidRPr="003C73D5">
        <w:rPr>
          <w:rFonts w:eastAsia="Malgun Gothic"/>
          <w:lang w:val="en-US" w:eastAsia="ko-KR"/>
        </w:rPr>
        <w:t xml:space="preserve"> the interested </w:t>
      </w:r>
      <w:r>
        <w:rPr>
          <w:rFonts w:eastAsia="Malgun Gothic"/>
          <w:lang w:val="en-US" w:eastAsia="ko-KR"/>
        </w:rPr>
        <w:t xml:space="preserve">V2X </w:t>
      </w:r>
      <w:r w:rsidR="007A7B4F" w:rsidRPr="003C73D5">
        <w:rPr>
          <w:rFonts w:eastAsia="Malgun Gothic"/>
          <w:lang w:val="en-US" w:eastAsia="ko-KR"/>
        </w:rPr>
        <w:t>service.</w:t>
      </w:r>
    </w:p>
    <w:p w14:paraId="4EA59F25" w14:textId="77777777" w:rsidR="007A7B4F" w:rsidRDefault="007A7B4F" w:rsidP="00645095">
      <w:pPr>
        <w:pStyle w:val="CRCoverPage"/>
        <w:spacing w:before="120"/>
        <w:jc w:val="both"/>
        <w:rPr>
          <w:rFonts w:eastAsia="Malgun Gothic"/>
          <w:b/>
          <w:lang w:val="en-US" w:eastAsia="ko-KR"/>
        </w:rPr>
      </w:pPr>
    </w:p>
    <w:p w14:paraId="74D6DCE4" w14:textId="263A3BBD" w:rsidR="000A08C5" w:rsidRDefault="007A7B4F" w:rsidP="000A08C5">
      <w:pPr>
        <w:pStyle w:val="CRCoverPage"/>
        <w:spacing w:before="120"/>
        <w:jc w:val="both"/>
        <w:rPr>
          <w:rFonts w:eastAsia="Malgun Gothic"/>
          <w:b/>
          <w:lang w:val="en-US" w:eastAsia="ko-KR"/>
        </w:rPr>
      </w:pPr>
      <w:r w:rsidRPr="002654E2">
        <w:rPr>
          <w:rFonts w:eastAsia="Malgun Gothic"/>
          <w:b/>
          <w:lang w:val="en-US" w:eastAsia="ko-KR"/>
        </w:rPr>
        <w:t xml:space="preserve">Proposal 2: </w:t>
      </w:r>
      <w:r w:rsidR="000A08C5">
        <w:rPr>
          <w:rFonts w:eastAsia="Malgun Gothic"/>
          <w:b/>
          <w:lang w:val="en-US" w:eastAsia="ko-KR"/>
        </w:rPr>
        <w:t xml:space="preserve">For a UE capable of </w:t>
      </w:r>
      <w:r w:rsidRPr="002654E2">
        <w:rPr>
          <w:rFonts w:eastAsia="Malgun Gothic"/>
          <w:b/>
          <w:lang w:val="en-US" w:eastAsia="ko-KR"/>
        </w:rPr>
        <w:t>both LTE V2X and NR V2X</w:t>
      </w:r>
      <w:r w:rsidR="000A08C5">
        <w:rPr>
          <w:rFonts w:eastAsia="Malgun Gothic"/>
          <w:b/>
          <w:lang w:val="en-US" w:eastAsia="ko-KR"/>
        </w:rPr>
        <w:t>, i</w:t>
      </w:r>
      <w:r w:rsidR="000A08C5" w:rsidRPr="000A08C5">
        <w:rPr>
          <w:rFonts w:eastAsia="Malgun Gothic"/>
          <w:b/>
          <w:lang w:val="en-US" w:eastAsia="ko-KR"/>
        </w:rPr>
        <w:t>n the case where the configurations apply to different sidelink RATs, the UE may prioritise the carrier offering a configuration for the sidelink RAT(s) applicable to services in which it is interested.</w:t>
      </w:r>
      <w:r w:rsidR="000A08C5">
        <w:rPr>
          <w:rFonts w:eastAsia="Malgun Gothic"/>
          <w:b/>
          <w:lang w:val="en-US" w:eastAsia="ko-KR"/>
        </w:rPr>
        <w:t xml:space="preserve"> </w:t>
      </w:r>
    </w:p>
    <w:p w14:paraId="5FF2E6BD" w14:textId="18154D80" w:rsidR="002654E2" w:rsidRDefault="00F34138" w:rsidP="00645095">
      <w:pPr>
        <w:pStyle w:val="CRCoverPage"/>
        <w:spacing w:before="120"/>
        <w:jc w:val="both"/>
        <w:rPr>
          <w:rFonts w:eastAsia="Malgun Gothic"/>
          <w:lang w:val="en-US" w:eastAsia="ko-KR"/>
        </w:rPr>
      </w:pPr>
      <w:r>
        <w:rPr>
          <w:rFonts w:eastAsia="Malgun Gothic"/>
          <w:lang w:val="en-US" w:eastAsia="ko-KR"/>
        </w:rPr>
        <w:t>In NR, t</w:t>
      </w:r>
      <w:r w:rsidR="002654E2">
        <w:rPr>
          <w:rFonts w:eastAsia="Malgun Gothic"/>
          <w:lang w:val="en-US" w:eastAsia="ko-KR"/>
        </w:rPr>
        <w:t>here are three ways for a frequency to provide the V2X sidelink configuration</w:t>
      </w:r>
      <w:r w:rsidR="0096741E">
        <w:rPr>
          <w:rFonts w:eastAsia="Malgun Gothic"/>
          <w:lang w:val="en-US" w:eastAsia="ko-KR"/>
        </w:rPr>
        <w:t xml:space="preserve">, as indicated in </w:t>
      </w:r>
      <w:r w:rsidR="0096741E">
        <w:rPr>
          <w:rFonts w:eastAsia="Malgun Gothic"/>
          <w:lang w:val="en-US" w:eastAsia="ko-KR"/>
        </w:rPr>
        <w:fldChar w:fldCharType="begin"/>
      </w:r>
      <w:r w:rsidR="0096741E">
        <w:rPr>
          <w:rFonts w:eastAsia="Malgun Gothic"/>
          <w:lang w:val="en-US" w:eastAsia="ko-KR"/>
        </w:rPr>
        <w:instrText xml:space="preserve"> REF _Ref7524926 \r \h </w:instrText>
      </w:r>
      <w:r w:rsidR="0096741E">
        <w:rPr>
          <w:rFonts w:eastAsia="Malgun Gothic"/>
          <w:lang w:val="en-US" w:eastAsia="ko-KR"/>
        </w:rPr>
      </w:r>
      <w:r w:rsidR="0096741E">
        <w:rPr>
          <w:rFonts w:eastAsia="Malgun Gothic"/>
          <w:lang w:val="en-US" w:eastAsia="ko-KR"/>
        </w:rPr>
        <w:fldChar w:fldCharType="separate"/>
      </w:r>
      <w:r w:rsidR="0096741E">
        <w:rPr>
          <w:rFonts w:eastAsia="Malgun Gothic"/>
          <w:lang w:val="en-US" w:eastAsia="ko-KR"/>
        </w:rPr>
        <w:t>[1]</w:t>
      </w:r>
      <w:r w:rsidR="0096741E">
        <w:rPr>
          <w:rFonts w:eastAsia="Malgun Gothic"/>
          <w:lang w:val="en-US" w:eastAsia="ko-KR"/>
        </w:rPr>
        <w:fldChar w:fldCharType="end"/>
      </w:r>
      <w:r>
        <w:rPr>
          <w:rFonts w:eastAsia="Malgun Gothic"/>
          <w:lang w:val="en-US" w:eastAsia="ko-KR"/>
        </w:rPr>
        <w:t>. Case 3 (cross-RAT scheduling) is the new use case.</w:t>
      </w:r>
    </w:p>
    <w:p w14:paraId="048ADC25" w14:textId="52C0544E" w:rsidR="002654E2" w:rsidRDefault="002E0EAA" w:rsidP="002654E2">
      <w:pPr>
        <w:pStyle w:val="CRCoverPage"/>
        <w:numPr>
          <w:ilvl w:val="0"/>
          <w:numId w:val="38"/>
        </w:numPr>
        <w:spacing w:before="120"/>
        <w:jc w:val="both"/>
        <w:rPr>
          <w:rFonts w:eastAsia="Malgun Gothic"/>
          <w:lang w:val="en-US" w:eastAsia="ko-KR"/>
        </w:rPr>
      </w:pPr>
      <w:r>
        <w:rPr>
          <w:rFonts w:eastAsia="Malgun Gothic"/>
          <w:lang w:val="en-US" w:eastAsia="ko-KR"/>
        </w:rPr>
        <w:t xml:space="preserve">Case 1: </w:t>
      </w:r>
      <w:r w:rsidR="002654E2">
        <w:rPr>
          <w:rFonts w:eastAsia="Malgun Gothic"/>
          <w:lang w:val="en-US" w:eastAsia="ko-KR"/>
        </w:rPr>
        <w:t>A frequency directly provides the V2X sidelink configuration</w:t>
      </w:r>
    </w:p>
    <w:p w14:paraId="6F5D4460" w14:textId="376F1E10" w:rsidR="002654E2" w:rsidRDefault="002E0EAA" w:rsidP="002654E2">
      <w:pPr>
        <w:pStyle w:val="CRCoverPage"/>
        <w:numPr>
          <w:ilvl w:val="0"/>
          <w:numId w:val="38"/>
        </w:numPr>
        <w:spacing w:before="120"/>
        <w:jc w:val="both"/>
        <w:rPr>
          <w:rFonts w:eastAsia="Malgun Gothic"/>
          <w:lang w:val="en-US" w:eastAsia="ko-KR"/>
        </w:rPr>
      </w:pPr>
      <w:r>
        <w:rPr>
          <w:rFonts w:eastAsia="Malgun Gothic"/>
          <w:lang w:val="en-US" w:eastAsia="ko-KR"/>
        </w:rPr>
        <w:t xml:space="preserve">Case 2: </w:t>
      </w:r>
      <w:r w:rsidR="002654E2">
        <w:rPr>
          <w:rFonts w:eastAsia="Malgun Gothic"/>
          <w:lang w:val="en-US" w:eastAsia="ko-KR"/>
        </w:rPr>
        <w:t>A frequency provides inter-carrier V2X sidelink configuration in the same RAT</w:t>
      </w:r>
    </w:p>
    <w:p w14:paraId="294FCFC4" w14:textId="3CE10A9A" w:rsidR="002654E2" w:rsidRDefault="002E0EAA" w:rsidP="002654E2">
      <w:pPr>
        <w:pStyle w:val="CRCoverPage"/>
        <w:numPr>
          <w:ilvl w:val="0"/>
          <w:numId w:val="38"/>
        </w:numPr>
        <w:spacing w:before="120"/>
        <w:jc w:val="both"/>
        <w:rPr>
          <w:rFonts w:eastAsia="Malgun Gothic"/>
          <w:lang w:val="en-US" w:eastAsia="ko-KR"/>
        </w:rPr>
      </w:pPr>
      <w:r>
        <w:rPr>
          <w:rFonts w:eastAsia="Malgun Gothic"/>
          <w:lang w:val="en-US" w:eastAsia="ko-KR"/>
        </w:rPr>
        <w:t xml:space="preserve">Case 3: </w:t>
      </w:r>
      <w:r w:rsidR="002654E2">
        <w:rPr>
          <w:rFonts w:eastAsia="Malgun Gothic"/>
          <w:lang w:val="en-US" w:eastAsia="ko-KR"/>
        </w:rPr>
        <w:t>A frequency provides inter-RAT V2X sidelink configuration</w:t>
      </w:r>
    </w:p>
    <w:p w14:paraId="4E995B69" w14:textId="1910E2C4" w:rsidR="00F34138" w:rsidRDefault="00F34138" w:rsidP="00F34138">
      <w:pPr>
        <w:pStyle w:val="CRCoverPage"/>
        <w:numPr>
          <w:ilvl w:val="1"/>
          <w:numId w:val="38"/>
        </w:numPr>
        <w:spacing w:before="120"/>
        <w:jc w:val="both"/>
        <w:rPr>
          <w:rFonts w:eastAsia="Malgun Gothic"/>
          <w:lang w:val="en-US" w:eastAsia="ko-KR"/>
        </w:rPr>
      </w:pPr>
      <w:r>
        <w:rPr>
          <w:rFonts w:eastAsia="Malgun Gothic"/>
          <w:lang w:val="en-US" w:eastAsia="ko-KR"/>
        </w:rPr>
        <w:t>E.g. LTE Uu controlled NR SL and NR Uu controlled LTE SL</w:t>
      </w:r>
    </w:p>
    <w:p w14:paraId="46ADEAAE" w14:textId="77777777" w:rsidR="00F34138" w:rsidRDefault="00F34138" w:rsidP="00F34138">
      <w:pPr>
        <w:pStyle w:val="CRCoverPage"/>
        <w:spacing w:before="120"/>
        <w:jc w:val="both"/>
        <w:rPr>
          <w:rFonts w:eastAsia="Malgun Gothic"/>
          <w:lang w:val="en-US" w:eastAsia="ko-KR"/>
        </w:rPr>
      </w:pPr>
    </w:p>
    <w:p w14:paraId="37D82C9B" w14:textId="6DB4049A" w:rsidR="00F34138" w:rsidRDefault="00F34138" w:rsidP="00F34138">
      <w:pPr>
        <w:pStyle w:val="CRCoverPage"/>
        <w:spacing w:before="120"/>
        <w:jc w:val="both"/>
        <w:rPr>
          <w:rFonts w:eastAsia="Malgun Gothic"/>
          <w:lang w:val="en-US" w:eastAsia="ko-KR"/>
        </w:rPr>
      </w:pPr>
      <w:r>
        <w:rPr>
          <w:rFonts w:eastAsia="Malgun Gothic"/>
          <w:lang w:val="en-US" w:eastAsia="ko-KR"/>
        </w:rPr>
        <w:lastRenderedPageBreak/>
        <w:t xml:space="preserve">In LTE V2X, </w:t>
      </w:r>
      <w:r w:rsidR="009206A2">
        <w:rPr>
          <w:rFonts w:eastAsia="Malgun Gothic"/>
          <w:lang w:val="en-US" w:eastAsia="ko-KR"/>
        </w:rPr>
        <w:t xml:space="preserve">case 1 </w:t>
      </w:r>
      <w:r>
        <w:rPr>
          <w:rFonts w:eastAsia="Malgun Gothic"/>
          <w:lang w:val="en-US" w:eastAsia="ko-KR"/>
        </w:rPr>
        <w:t>frequency</w:t>
      </w:r>
      <w:r w:rsidR="009206A2">
        <w:rPr>
          <w:rFonts w:eastAsia="Malgun Gothic"/>
          <w:lang w:val="en-US" w:eastAsia="ko-KR"/>
        </w:rPr>
        <w:t xml:space="preserve"> “may”</w:t>
      </w:r>
      <w:r>
        <w:rPr>
          <w:rFonts w:eastAsia="Malgun Gothic"/>
          <w:lang w:val="en-US" w:eastAsia="ko-KR"/>
        </w:rPr>
        <w:t xml:space="preserve"> </w:t>
      </w:r>
      <w:r w:rsidR="009206A2">
        <w:rPr>
          <w:rFonts w:eastAsia="Malgun Gothic"/>
          <w:lang w:val="en-US" w:eastAsia="ko-KR"/>
        </w:rPr>
        <w:t xml:space="preserve">have a higher priority than case 2 </w:t>
      </w:r>
      <w:r w:rsidR="00F81E0C">
        <w:rPr>
          <w:rFonts w:eastAsia="Malgun Gothic"/>
          <w:lang w:val="en-US" w:eastAsia="ko-KR"/>
        </w:rPr>
        <w:t xml:space="preserve">frequency. </w:t>
      </w:r>
    </w:p>
    <w:p w14:paraId="2E216814" w14:textId="6367CD5A" w:rsidR="00F81E0C" w:rsidRPr="00F81E0C" w:rsidRDefault="00F81E0C" w:rsidP="00F34138">
      <w:pPr>
        <w:pStyle w:val="CRCoverPage"/>
        <w:spacing w:before="120"/>
        <w:jc w:val="both"/>
        <w:rPr>
          <w:rFonts w:eastAsia="Malgun Gothic"/>
          <w:b/>
          <w:lang w:val="en-US" w:eastAsia="ko-KR"/>
        </w:rPr>
      </w:pPr>
      <w:r w:rsidRPr="00F81E0C">
        <w:rPr>
          <w:rFonts w:eastAsia="Malgun Gothic"/>
          <w:b/>
          <w:lang w:val="en-US" w:eastAsia="ko-KR"/>
        </w:rPr>
        <w:t xml:space="preserve">Observation </w:t>
      </w:r>
      <w:r w:rsidR="00C704F2">
        <w:rPr>
          <w:rFonts w:eastAsia="Malgun Gothic"/>
          <w:b/>
          <w:lang w:val="en-US" w:eastAsia="ko-KR"/>
        </w:rPr>
        <w:t>3</w:t>
      </w:r>
      <w:r w:rsidRPr="00F81E0C">
        <w:rPr>
          <w:rFonts w:eastAsia="Malgun Gothic"/>
          <w:b/>
          <w:lang w:val="en-US" w:eastAsia="ko-KR"/>
        </w:rPr>
        <w:t>: In LTE V2X, a frequency which directly provides V2X sidelink configuration has a higher priority than a frequency providing inter-carrier sidelink configuration.</w:t>
      </w:r>
    </w:p>
    <w:tbl>
      <w:tblPr>
        <w:tblStyle w:val="TableGrid"/>
        <w:tblW w:w="0" w:type="auto"/>
        <w:tblLook w:val="04A0" w:firstRow="1" w:lastRow="0" w:firstColumn="1" w:lastColumn="0" w:noHBand="0" w:noVBand="1"/>
      </w:tblPr>
      <w:tblGrid>
        <w:gridCol w:w="9350"/>
      </w:tblGrid>
      <w:tr w:rsidR="00F34138" w14:paraId="4CF5E08A" w14:textId="77777777" w:rsidTr="00F34138">
        <w:tc>
          <w:tcPr>
            <w:tcW w:w="9350" w:type="dxa"/>
          </w:tcPr>
          <w:p w14:paraId="4888AC16" w14:textId="77777777" w:rsidR="00F34138" w:rsidRDefault="00F34138" w:rsidP="00F34138">
            <w:pPr>
              <w:pStyle w:val="CRCoverPage"/>
              <w:spacing w:before="120"/>
              <w:rPr>
                <w:rFonts w:ascii="Times New Roman" w:hAnsi="Times New Roman"/>
              </w:rPr>
            </w:pPr>
            <w:r>
              <w:rPr>
                <w:rFonts w:ascii="Times New Roman" w:hAnsi="Times New Roman"/>
                <w:highlight w:val="yellow"/>
              </w:rPr>
              <w:t xml:space="preserve">TS 36.304 </w:t>
            </w:r>
            <w:r>
              <w:rPr>
                <w:rFonts w:ascii="Times New Roman" w:hAnsi="Times New Roman"/>
              </w:rPr>
              <w:t xml:space="preserve"> </w:t>
            </w:r>
          </w:p>
          <w:p w14:paraId="622D73BF" w14:textId="3E3EA760" w:rsidR="00F34138" w:rsidRPr="00016BD0" w:rsidRDefault="00F34138" w:rsidP="00F34138">
            <w:pPr>
              <w:pStyle w:val="CRCoverPage"/>
              <w:spacing w:before="120"/>
              <w:rPr>
                <w:rFonts w:ascii="Times New Roman" w:hAnsi="Times New Roman"/>
              </w:rPr>
            </w:pPr>
            <w:r w:rsidRPr="00016BD0">
              <w:rPr>
                <w:rFonts w:ascii="Times New Roman" w:hAnsi="Times New Roman"/>
              </w:rPr>
              <w:t>5</w:t>
            </w:r>
            <w:r w:rsidRPr="00016BD0">
              <w:rPr>
                <w:rFonts w:ascii="Times New Roman" w:hAnsi="Times New Roman"/>
              </w:rPr>
              <w:tab/>
              <w:t>Process and procedure descriptions</w:t>
            </w:r>
          </w:p>
          <w:p w14:paraId="04BE6086" w14:textId="77777777" w:rsidR="00F34138" w:rsidRPr="00016BD0" w:rsidRDefault="00F34138" w:rsidP="00F34138">
            <w:pPr>
              <w:pStyle w:val="CRCoverPage"/>
              <w:spacing w:before="120"/>
              <w:rPr>
                <w:rFonts w:ascii="Times New Roman" w:hAnsi="Times New Roman"/>
              </w:rPr>
            </w:pPr>
            <w:r w:rsidRPr="00016BD0">
              <w:rPr>
                <w:rFonts w:ascii="Times New Roman" w:hAnsi="Times New Roman"/>
              </w:rPr>
              <w:t>5.2</w:t>
            </w:r>
            <w:r w:rsidRPr="00016BD0">
              <w:rPr>
                <w:rFonts w:ascii="Times New Roman" w:hAnsi="Times New Roman"/>
              </w:rPr>
              <w:tab/>
              <w:t>Cell selection and reselection</w:t>
            </w:r>
          </w:p>
          <w:p w14:paraId="1689AB01" w14:textId="77777777" w:rsidR="00F34138" w:rsidRPr="00016BD0" w:rsidRDefault="00F34138" w:rsidP="00F34138">
            <w:pPr>
              <w:pStyle w:val="CRCoverPage"/>
              <w:spacing w:before="120"/>
              <w:rPr>
                <w:rFonts w:ascii="Times New Roman" w:hAnsi="Times New Roman"/>
              </w:rPr>
            </w:pPr>
            <w:r w:rsidRPr="00016BD0">
              <w:rPr>
                <w:rFonts w:ascii="Times New Roman" w:hAnsi="Times New Roman"/>
              </w:rPr>
              <w:t>5.2.4</w:t>
            </w:r>
            <w:r w:rsidRPr="00016BD0">
              <w:rPr>
                <w:rFonts w:ascii="Times New Roman" w:hAnsi="Times New Roman"/>
              </w:rPr>
              <w:tab/>
              <w:t>Cell Reselection evaluation process</w:t>
            </w:r>
          </w:p>
          <w:p w14:paraId="37C4F8F5" w14:textId="3A72134A" w:rsidR="00F34138" w:rsidRDefault="00F34138" w:rsidP="00F34138">
            <w:pPr>
              <w:pStyle w:val="CRCoverPage"/>
              <w:spacing w:before="120"/>
              <w:jc w:val="both"/>
              <w:rPr>
                <w:rFonts w:ascii="Times New Roman" w:hAnsi="Times New Roman"/>
              </w:rPr>
            </w:pPr>
            <w:r w:rsidRPr="00016BD0">
              <w:rPr>
                <w:rFonts w:ascii="Times New Roman" w:hAnsi="Times New Roman"/>
              </w:rPr>
              <w:t>5.2.4.1</w:t>
            </w:r>
            <w:r w:rsidRPr="00016BD0">
              <w:rPr>
                <w:rFonts w:ascii="Times New Roman" w:hAnsi="Times New Roman"/>
              </w:rPr>
              <w:tab/>
              <w:t>Reselection priorities handling</w:t>
            </w:r>
          </w:p>
          <w:p w14:paraId="0AEAD7BD" w14:textId="17575EAB" w:rsidR="00016BD0" w:rsidRPr="00016BD0" w:rsidRDefault="00FF24B2" w:rsidP="00F34138">
            <w:pPr>
              <w:pStyle w:val="CRCoverPage"/>
              <w:spacing w:before="120"/>
              <w:jc w:val="both"/>
              <w:rPr>
                <w:rFonts w:ascii="Times New Roman" w:hAnsi="Times New Roman"/>
              </w:rPr>
            </w:pPr>
            <w:r>
              <w:rPr>
                <w:rFonts w:ascii="Times New Roman" w:hAnsi="Times New Roman"/>
              </w:rPr>
              <w:t>…&lt;ignore irrelevant part&gt;…</w:t>
            </w:r>
          </w:p>
          <w:p w14:paraId="2959A957" w14:textId="77777777" w:rsidR="00F34138" w:rsidRPr="00FF24B2" w:rsidRDefault="00F34138" w:rsidP="00F34138">
            <w:pPr>
              <w:pStyle w:val="CRCoverPage"/>
              <w:spacing w:before="120"/>
              <w:jc w:val="both"/>
              <w:rPr>
                <w:rFonts w:ascii="Times New Roman" w:hAnsi="Times New Roman"/>
              </w:rPr>
            </w:pPr>
            <w:r w:rsidRPr="00016BD0">
              <w:rPr>
                <w:rFonts w:ascii="Times New Roman" w:hAnsi="Times New Roman"/>
              </w:rPr>
              <w:t xml:space="preserve">If the UE capable of V2X sidelink communication is configured to perform </w:t>
            </w:r>
            <w:r w:rsidRPr="00FF24B2">
              <w:rPr>
                <w:rFonts w:ascii="Times New Roman" w:hAnsi="Times New Roman"/>
              </w:rPr>
              <w:t>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p>
          <w:p w14:paraId="6FC225FA" w14:textId="77777777" w:rsidR="009206A2" w:rsidRPr="00FF24B2" w:rsidRDefault="009206A2" w:rsidP="00F34138">
            <w:pPr>
              <w:pStyle w:val="CRCoverPage"/>
              <w:spacing w:before="120"/>
              <w:jc w:val="both"/>
              <w:rPr>
                <w:rFonts w:ascii="Times New Roman" w:hAnsi="Times New Roman"/>
              </w:rPr>
            </w:pPr>
          </w:p>
          <w:p w14:paraId="6E6D584B" w14:textId="65BE1FE5" w:rsidR="009206A2" w:rsidRPr="00FF24B2" w:rsidRDefault="009206A2" w:rsidP="009206A2">
            <w:pPr>
              <w:pStyle w:val="Heading2"/>
              <w:outlineLvl w:val="1"/>
              <w:rPr>
                <w:rFonts w:ascii="Times New Roman" w:eastAsia="MS Mincho" w:hAnsi="Times New Roman" w:cs="Times New Roman"/>
                <w:sz w:val="20"/>
                <w:szCs w:val="20"/>
                <w:lang w:eastAsia="en-US"/>
              </w:rPr>
            </w:pPr>
            <w:bookmarkStart w:id="0" w:name="_Toc5790787"/>
            <w:r w:rsidRPr="00FF24B2">
              <w:rPr>
                <w:rFonts w:ascii="Times New Roman" w:eastAsia="MS Mincho" w:hAnsi="Times New Roman" w:cs="Times New Roman"/>
                <w:sz w:val="20"/>
                <w:szCs w:val="20"/>
                <w:lang w:eastAsia="en-US"/>
              </w:rPr>
              <w:t>11</w:t>
            </w:r>
            <w:r w:rsidRPr="00FF24B2">
              <w:rPr>
                <w:rFonts w:ascii="Times New Roman" w:eastAsia="MS Mincho" w:hAnsi="Times New Roman" w:cs="Times New Roman"/>
                <w:sz w:val="20"/>
                <w:szCs w:val="20"/>
                <w:lang w:eastAsia="en-US"/>
              </w:rPr>
              <w:tab/>
              <w:t>Sidelink operation</w:t>
            </w:r>
          </w:p>
          <w:p w14:paraId="0637CA94" w14:textId="77777777" w:rsidR="009206A2" w:rsidRDefault="009206A2" w:rsidP="009206A2">
            <w:pPr>
              <w:pStyle w:val="Heading2"/>
              <w:outlineLvl w:val="1"/>
              <w:rPr>
                <w:rFonts w:ascii="Times New Roman" w:eastAsia="MS Mincho" w:hAnsi="Times New Roman" w:cs="Times New Roman"/>
                <w:sz w:val="20"/>
                <w:szCs w:val="20"/>
                <w:lang w:eastAsia="en-US"/>
              </w:rPr>
            </w:pPr>
            <w:r w:rsidRPr="00FF24B2">
              <w:rPr>
                <w:rFonts w:ascii="Times New Roman" w:eastAsia="MS Mincho" w:hAnsi="Times New Roman" w:cs="Times New Roman"/>
                <w:sz w:val="20"/>
                <w:szCs w:val="20"/>
                <w:lang w:eastAsia="en-US"/>
              </w:rPr>
              <w:t>11.4</w:t>
            </w:r>
            <w:r w:rsidRPr="00FF24B2">
              <w:rPr>
                <w:rFonts w:ascii="Times New Roman" w:eastAsia="MS Mincho" w:hAnsi="Times New Roman" w:cs="Times New Roman"/>
                <w:sz w:val="20"/>
                <w:szCs w:val="20"/>
                <w:lang w:eastAsia="en-US"/>
              </w:rPr>
              <w:tab/>
              <w:t>Cell selection and reselection for sidelink</w:t>
            </w:r>
            <w:bookmarkEnd w:id="0"/>
          </w:p>
          <w:p w14:paraId="20CD9852" w14:textId="1FE0CF63" w:rsidR="00FF24B2" w:rsidRPr="00FF24B2" w:rsidRDefault="00FF24B2" w:rsidP="00FF24B2">
            <w:pPr>
              <w:pStyle w:val="CRCoverPage"/>
              <w:spacing w:before="120"/>
              <w:jc w:val="both"/>
            </w:pPr>
            <w:r>
              <w:rPr>
                <w:rFonts w:ascii="Times New Roman" w:hAnsi="Times New Roman"/>
              </w:rPr>
              <w:t>…&lt;ignore irrelevant part&gt;…</w:t>
            </w:r>
          </w:p>
          <w:p w14:paraId="4E5FD186" w14:textId="66F88C77" w:rsidR="009206A2" w:rsidRPr="009206A2" w:rsidRDefault="009206A2" w:rsidP="009206A2">
            <w:pPr>
              <w:keepLines/>
              <w:overflowPunct/>
              <w:autoSpaceDE/>
              <w:autoSpaceDN/>
              <w:adjustRightInd/>
              <w:spacing w:after="180"/>
              <w:ind w:left="1135" w:hanging="851"/>
              <w:jc w:val="left"/>
              <w:textAlignment w:val="auto"/>
              <w:rPr>
                <w:rFonts w:eastAsia="Malgun Gothic"/>
                <w:lang w:eastAsia="ko-KR"/>
              </w:rPr>
            </w:pPr>
            <w:r w:rsidRPr="00FF24B2">
              <w:rPr>
                <w:rFonts w:ascii="Times New Roman" w:eastAsia="MS Mincho" w:hAnsi="Times New Roman"/>
                <w:lang w:eastAsia="en-US"/>
              </w:rPr>
              <w:t xml:space="preserve">NOTE </w:t>
            </w:r>
            <w:r w:rsidRPr="00FF24B2">
              <w:rPr>
                <w:rFonts w:ascii="Times New Roman" w:eastAsia="MS Mincho" w:hAnsi="Times New Roman"/>
                <w:lang w:eastAsia="ko-KR"/>
              </w:rPr>
              <w:t>1</w:t>
            </w:r>
            <w:r w:rsidRPr="00FF24B2">
              <w:rPr>
                <w:rFonts w:ascii="Times New Roman" w:eastAsia="MS Mincho" w:hAnsi="Times New Roman"/>
                <w:lang w:eastAsia="en-US"/>
              </w:rPr>
              <w:t>:</w:t>
            </w:r>
            <w:r w:rsidRPr="00FF24B2">
              <w:rPr>
                <w:rFonts w:ascii="Times New Roman" w:eastAsia="MS Mincho" w:hAnsi="Times New Roman"/>
                <w:lang w:eastAsia="en-US"/>
              </w:rPr>
              <w:tab/>
              <w:t>The UE may consider the carrier pre-configured for sidelink communication</w:t>
            </w:r>
            <w:r w:rsidRPr="00FF24B2">
              <w:rPr>
                <w:rFonts w:ascii="Times New Roman" w:eastAsia="MS Mincho" w:hAnsi="Times New Roman"/>
              </w:rPr>
              <w:t xml:space="preserve"> or V2X sidelink communication, or the frequencies pre-configured for providing inter-carrier V2X sidelink</w:t>
            </w:r>
            <w:r w:rsidRPr="00016BD0">
              <w:rPr>
                <w:rFonts w:ascii="Times New Roman" w:eastAsia="MS Mincho" w:hAnsi="Times New Roman"/>
              </w:rPr>
              <w:t xml:space="preserve"> configuration</w:t>
            </w:r>
            <w:r w:rsidRPr="00016BD0">
              <w:rPr>
                <w:rFonts w:ascii="Times New Roman" w:eastAsia="MS Mincho" w:hAnsi="Times New Roman"/>
                <w:lang w:eastAsia="en-US"/>
              </w:rPr>
              <w:t xml:space="preserve"> to have the highest cell reselection priority</w:t>
            </w:r>
            <w:r w:rsidRPr="00016BD0">
              <w:rPr>
                <w:rFonts w:ascii="Times New Roman" w:eastAsia="MS Mincho" w:hAnsi="Times New Roman"/>
                <w:lang w:eastAsia="ko-KR"/>
              </w:rPr>
              <w:t xml:space="preserve"> in accordance with clause 5.2.4.1.</w:t>
            </w:r>
          </w:p>
        </w:tc>
      </w:tr>
    </w:tbl>
    <w:p w14:paraId="0134F12D" w14:textId="77777777" w:rsidR="00F34138" w:rsidRPr="00645095" w:rsidRDefault="00F34138" w:rsidP="00F34138">
      <w:pPr>
        <w:pStyle w:val="CRCoverPage"/>
        <w:spacing w:before="120"/>
        <w:jc w:val="both"/>
        <w:rPr>
          <w:rFonts w:eastAsia="Malgun Gothic"/>
          <w:lang w:val="en-US" w:eastAsia="ko-KR"/>
        </w:rPr>
      </w:pPr>
    </w:p>
    <w:p w14:paraId="2794DB71" w14:textId="195798D9" w:rsidR="007B6A21" w:rsidRDefault="00912931" w:rsidP="0096741E">
      <w:pPr>
        <w:pStyle w:val="CRCoverPage"/>
        <w:spacing w:before="120"/>
        <w:jc w:val="both"/>
        <w:rPr>
          <w:rFonts w:eastAsia="Malgun Gothic"/>
          <w:lang w:val="en-US" w:eastAsia="ko-KR"/>
        </w:rPr>
      </w:pPr>
      <w:r>
        <w:rPr>
          <w:rFonts w:eastAsia="Malgun Gothic"/>
          <w:lang w:val="en-US" w:eastAsia="ko-KR"/>
        </w:rPr>
        <w:t xml:space="preserve">In NR V2X, similar principle can be applied, i.e. </w:t>
      </w:r>
      <w:r w:rsidR="00302DD9">
        <w:rPr>
          <w:rFonts w:eastAsia="Malgun Gothic"/>
          <w:lang w:val="en-US" w:eastAsia="ko-KR"/>
        </w:rPr>
        <w:t xml:space="preserve">UE prioritize the frequency/cell that can directly provide sidelink configuration. Besides, </w:t>
      </w:r>
      <w:r>
        <w:rPr>
          <w:rFonts w:eastAsia="Malgun Gothic"/>
          <w:lang w:val="en-US" w:eastAsia="ko-KR"/>
        </w:rPr>
        <w:t xml:space="preserve">RAN2 can consider whether to specify </w:t>
      </w:r>
      <w:r w:rsidR="00D631FA">
        <w:rPr>
          <w:rFonts w:eastAsia="Malgun Gothic"/>
          <w:lang w:val="en-US" w:eastAsia="ko-KR"/>
        </w:rPr>
        <w:t>the</w:t>
      </w:r>
      <w:r>
        <w:rPr>
          <w:rFonts w:eastAsia="Malgun Gothic"/>
          <w:lang w:val="en-US" w:eastAsia="ko-KR"/>
        </w:rPr>
        <w:t xml:space="preserve"> priority between </w:t>
      </w:r>
      <w:r w:rsidR="00D631FA">
        <w:rPr>
          <w:rFonts w:eastAsia="Malgun Gothic"/>
          <w:lang w:val="en-US" w:eastAsia="ko-KR"/>
        </w:rPr>
        <w:t>case2 and case 3, or le</w:t>
      </w:r>
      <w:r w:rsidR="00847B3D">
        <w:rPr>
          <w:rFonts w:eastAsia="Malgun Gothic"/>
          <w:lang w:val="en-US" w:eastAsia="ko-KR"/>
        </w:rPr>
        <w:t>ave</w:t>
      </w:r>
      <w:r w:rsidR="00D631FA">
        <w:rPr>
          <w:rFonts w:eastAsia="Malgun Gothic"/>
          <w:lang w:val="en-US" w:eastAsia="ko-KR"/>
        </w:rPr>
        <w:t xml:space="preserve"> it to UE implementation if </w:t>
      </w:r>
      <w:bookmarkStart w:id="1" w:name="_GoBack"/>
      <w:bookmarkEnd w:id="1"/>
      <w:r w:rsidR="00D631FA">
        <w:rPr>
          <w:rFonts w:eastAsia="Malgun Gothic"/>
          <w:lang w:val="en-US" w:eastAsia="ko-KR"/>
        </w:rPr>
        <w:t xml:space="preserve">both case 2 and case 3 frequency are available. </w:t>
      </w:r>
    </w:p>
    <w:p w14:paraId="781EC11F" w14:textId="77777777" w:rsidR="00137752" w:rsidRDefault="00137752" w:rsidP="0096741E">
      <w:pPr>
        <w:pStyle w:val="CRCoverPage"/>
        <w:spacing w:before="120"/>
        <w:jc w:val="both"/>
        <w:rPr>
          <w:rFonts w:eastAsia="Malgun Gothic"/>
          <w:lang w:val="en-US" w:eastAsia="ko-KR"/>
        </w:rPr>
      </w:pPr>
    </w:p>
    <w:p w14:paraId="4413F19A" w14:textId="77777777" w:rsidR="001B6B6C" w:rsidRPr="001B6B6C" w:rsidRDefault="001B6B6C" w:rsidP="001B6B6C">
      <w:pPr>
        <w:overflowPunct/>
        <w:autoSpaceDE/>
        <w:autoSpaceDN/>
        <w:adjustRightInd/>
        <w:spacing w:after="0"/>
        <w:jc w:val="left"/>
        <w:textAlignment w:val="auto"/>
        <w:rPr>
          <w:rFonts w:eastAsia="Malgun Gothic"/>
          <w:b/>
          <w:lang w:val="en-US" w:eastAsia="ko-KR"/>
        </w:rPr>
      </w:pPr>
      <w:r w:rsidRPr="001B6B6C">
        <w:rPr>
          <w:rFonts w:eastAsia="Malgun Gothic"/>
          <w:b/>
          <w:lang w:val="en-US" w:eastAsia="ko-KR"/>
        </w:rPr>
        <w:t>Proposal 3: Specify that a frequency which directly provides V2X sidelink configuration has a higher priority than a frequency providing inter-carrier sidelink configuration for the same sidelink RAT(s).</w:t>
      </w:r>
    </w:p>
    <w:p w14:paraId="4C288B58" w14:textId="77777777" w:rsidR="001B6B6C" w:rsidRPr="001B6B6C" w:rsidRDefault="001B6B6C" w:rsidP="001B6B6C">
      <w:pPr>
        <w:overflowPunct/>
        <w:autoSpaceDE/>
        <w:autoSpaceDN/>
        <w:adjustRightInd/>
        <w:spacing w:after="0"/>
        <w:jc w:val="left"/>
        <w:textAlignment w:val="auto"/>
        <w:rPr>
          <w:rFonts w:eastAsia="Malgun Gothic"/>
          <w:b/>
          <w:lang w:val="en-US" w:eastAsia="ko-KR"/>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5DAB6ECD" w14:textId="1790C6D8" w:rsidR="00C704F2" w:rsidRPr="002E6FE0" w:rsidRDefault="00C704F2" w:rsidP="00C704F2">
      <w:pPr>
        <w:pStyle w:val="CRCoverPage"/>
        <w:spacing w:before="120"/>
        <w:jc w:val="both"/>
        <w:rPr>
          <w:rFonts w:eastAsia="Malgun Gothic"/>
          <w:b/>
          <w:lang w:val="en-US" w:eastAsia="ko-KR"/>
        </w:rPr>
      </w:pPr>
      <w:r w:rsidRPr="002E6FE0">
        <w:rPr>
          <w:rFonts w:eastAsia="Malgun Gothic"/>
          <w:b/>
          <w:lang w:val="en-US" w:eastAsia="ko-KR"/>
        </w:rPr>
        <w:t>Observation</w:t>
      </w:r>
      <w:r>
        <w:rPr>
          <w:rFonts w:eastAsia="Malgun Gothic"/>
          <w:b/>
          <w:lang w:val="en-US" w:eastAsia="ko-KR"/>
        </w:rPr>
        <w:t xml:space="preserve"> 1</w:t>
      </w:r>
      <w:r w:rsidRPr="002E6FE0">
        <w:rPr>
          <w:rFonts w:eastAsia="Malgun Gothic"/>
          <w:b/>
          <w:lang w:val="en-US" w:eastAsia="ko-KR"/>
        </w:rPr>
        <w:t>: UE capability, supported RAT of the frequency</w:t>
      </w:r>
      <w:r>
        <w:rPr>
          <w:rFonts w:eastAsia="Malgun Gothic"/>
          <w:b/>
          <w:lang w:val="en-US" w:eastAsia="ko-KR"/>
        </w:rPr>
        <w:t xml:space="preserve"> (only for broadcast)</w:t>
      </w:r>
      <w:r w:rsidRPr="002E6FE0">
        <w:rPr>
          <w:rFonts w:eastAsia="Malgun Gothic"/>
          <w:b/>
          <w:lang w:val="en-US" w:eastAsia="ko-KR"/>
        </w:rPr>
        <w:t xml:space="preserve">, and associated RAT of the V2X service UE is interested in should </w:t>
      </w:r>
      <w:r>
        <w:rPr>
          <w:rFonts w:eastAsia="Malgun Gothic"/>
          <w:b/>
          <w:lang w:val="en-US" w:eastAsia="ko-KR"/>
        </w:rPr>
        <w:t xml:space="preserve">be taken into account for cell </w:t>
      </w:r>
      <w:r w:rsidRPr="002E6FE0">
        <w:rPr>
          <w:rFonts w:eastAsia="Malgun Gothic"/>
          <w:b/>
          <w:lang w:val="en-US" w:eastAsia="ko-KR"/>
        </w:rPr>
        <w:t>reselection.</w:t>
      </w:r>
    </w:p>
    <w:p w14:paraId="6F644DD0" w14:textId="2319C8CE" w:rsidR="00C704F2" w:rsidRDefault="00C704F2" w:rsidP="00C704F2">
      <w:pPr>
        <w:pStyle w:val="CRCoverPage"/>
        <w:spacing w:before="120"/>
        <w:jc w:val="both"/>
        <w:rPr>
          <w:rFonts w:eastAsia="Malgun Gothic"/>
          <w:b/>
          <w:lang w:val="en-US" w:eastAsia="ko-KR"/>
        </w:rPr>
      </w:pPr>
      <w:r w:rsidRPr="002654E2">
        <w:rPr>
          <w:rFonts w:eastAsia="Malgun Gothic"/>
          <w:b/>
          <w:lang w:val="en-US" w:eastAsia="ko-KR"/>
        </w:rPr>
        <w:t>Observation</w:t>
      </w:r>
      <w:r>
        <w:rPr>
          <w:rFonts w:eastAsia="Malgun Gothic"/>
          <w:b/>
          <w:lang w:val="en-US" w:eastAsia="ko-KR"/>
        </w:rPr>
        <w:t xml:space="preserve"> 2</w:t>
      </w:r>
      <w:r w:rsidRPr="002654E2">
        <w:rPr>
          <w:rFonts w:eastAsia="Malgun Gothic"/>
          <w:b/>
          <w:lang w:val="en-US" w:eastAsia="ko-KR"/>
        </w:rPr>
        <w:t xml:space="preserve">: If UE supports both LTE V2X and NR V2X, prioritize the frequencies supporting both LTE V2X and NR V2X </w:t>
      </w:r>
      <w:r w:rsidR="004B26AE">
        <w:rPr>
          <w:rFonts w:eastAsia="Malgun Gothic"/>
          <w:b/>
          <w:lang w:val="en-US" w:eastAsia="ko-KR"/>
        </w:rPr>
        <w:t xml:space="preserve">may </w:t>
      </w:r>
      <w:r w:rsidRPr="002654E2">
        <w:rPr>
          <w:rFonts w:eastAsia="Malgun Gothic"/>
          <w:b/>
          <w:lang w:val="en-US" w:eastAsia="ko-KR"/>
        </w:rPr>
        <w:t>avoid additional cell reselection.</w:t>
      </w:r>
    </w:p>
    <w:p w14:paraId="25F232E6" w14:textId="77777777" w:rsidR="00C704F2" w:rsidRPr="00F81E0C" w:rsidRDefault="00C704F2" w:rsidP="00C704F2">
      <w:pPr>
        <w:pStyle w:val="CRCoverPage"/>
        <w:spacing w:before="120"/>
        <w:jc w:val="both"/>
        <w:rPr>
          <w:rFonts w:eastAsia="Malgun Gothic"/>
          <w:b/>
          <w:lang w:val="en-US" w:eastAsia="ko-KR"/>
        </w:rPr>
      </w:pPr>
      <w:r w:rsidRPr="00F81E0C">
        <w:rPr>
          <w:rFonts w:eastAsia="Malgun Gothic"/>
          <w:b/>
          <w:lang w:val="en-US" w:eastAsia="ko-KR"/>
        </w:rPr>
        <w:t xml:space="preserve">Observation </w:t>
      </w:r>
      <w:r>
        <w:rPr>
          <w:rFonts w:eastAsia="Malgun Gothic"/>
          <w:b/>
          <w:lang w:val="en-US" w:eastAsia="ko-KR"/>
        </w:rPr>
        <w:t>3</w:t>
      </w:r>
      <w:r w:rsidRPr="00F81E0C">
        <w:rPr>
          <w:rFonts w:eastAsia="Malgun Gothic"/>
          <w:b/>
          <w:lang w:val="en-US" w:eastAsia="ko-KR"/>
        </w:rPr>
        <w:t>: In LTE V2X, a frequency which directly provides V2X sidelink configuration has a higher priority than a frequency providing inter-carrier sidelink configuration.</w:t>
      </w:r>
    </w:p>
    <w:p w14:paraId="376B2EE1" w14:textId="77777777" w:rsidR="00C704F2" w:rsidRPr="002654E2" w:rsidRDefault="00C704F2" w:rsidP="00C704F2">
      <w:pPr>
        <w:pStyle w:val="CRCoverPage"/>
        <w:spacing w:before="120"/>
        <w:jc w:val="both"/>
        <w:rPr>
          <w:rFonts w:eastAsia="Malgun Gothic"/>
          <w:b/>
          <w:lang w:val="en-US" w:eastAsia="ko-KR"/>
        </w:rPr>
      </w:pP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5E6ECE25" w14:textId="77777777" w:rsidR="004B26AE" w:rsidRDefault="004B26AE" w:rsidP="004B26AE">
      <w:pPr>
        <w:pStyle w:val="CRCoverPage"/>
        <w:spacing w:before="120"/>
        <w:jc w:val="both"/>
        <w:rPr>
          <w:rFonts w:eastAsia="Malgun Gothic"/>
          <w:b/>
          <w:lang w:val="en-US" w:eastAsia="ko-KR"/>
        </w:rPr>
      </w:pPr>
      <w:r w:rsidRPr="002654E2">
        <w:rPr>
          <w:rFonts w:eastAsia="Malgun Gothic"/>
          <w:b/>
          <w:lang w:val="en-US" w:eastAsia="ko-KR"/>
        </w:rPr>
        <w:t>Proposal 1: If UE supports both LTE V2X and NR V2X, UE prioritize the frequencies supporting both RAT over the frequencies supporting single RAT.</w:t>
      </w:r>
    </w:p>
    <w:p w14:paraId="19B3BEA4" w14:textId="77777777" w:rsidR="00975588" w:rsidRDefault="00975588" w:rsidP="004B26AE">
      <w:pPr>
        <w:pStyle w:val="CRCoverPage"/>
        <w:spacing w:before="120"/>
        <w:jc w:val="both"/>
        <w:rPr>
          <w:rFonts w:eastAsia="Malgun Gothic"/>
          <w:b/>
          <w:lang w:val="en-US" w:eastAsia="ko-KR"/>
        </w:rPr>
      </w:pPr>
    </w:p>
    <w:p w14:paraId="5BEBF5FA" w14:textId="77777777" w:rsidR="00975588" w:rsidRDefault="00975588" w:rsidP="00975588">
      <w:pPr>
        <w:pStyle w:val="CRCoverPage"/>
        <w:spacing w:before="120"/>
        <w:jc w:val="both"/>
        <w:rPr>
          <w:rFonts w:eastAsia="Malgun Gothic"/>
          <w:b/>
          <w:lang w:val="en-US" w:eastAsia="ko-KR"/>
        </w:rPr>
      </w:pPr>
      <w:r w:rsidRPr="002654E2">
        <w:rPr>
          <w:rFonts w:eastAsia="Malgun Gothic"/>
          <w:b/>
          <w:lang w:val="en-US" w:eastAsia="ko-KR"/>
        </w:rPr>
        <w:t xml:space="preserve">Proposal 2: </w:t>
      </w:r>
      <w:r>
        <w:rPr>
          <w:rFonts w:eastAsia="Malgun Gothic"/>
          <w:b/>
          <w:lang w:val="en-US" w:eastAsia="ko-KR"/>
        </w:rPr>
        <w:t xml:space="preserve">For a UE capable of </w:t>
      </w:r>
      <w:r w:rsidRPr="002654E2">
        <w:rPr>
          <w:rFonts w:eastAsia="Malgun Gothic"/>
          <w:b/>
          <w:lang w:val="en-US" w:eastAsia="ko-KR"/>
        </w:rPr>
        <w:t>both LTE V2X and NR V2X</w:t>
      </w:r>
      <w:r>
        <w:rPr>
          <w:rFonts w:eastAsia="Malgun Gothic"/>
          <w:b/>
          <w:lang w:val="en-US" w:eastAsia="ko-KR"/>
        </w:rPr>
        <w:t>, i</w:t>
      </w:r>
      <w:r w:rsidRPr="000A08C5">
        <w:rPr>
          <w:rFonts w:eastAsia="Malgun Gothic"/>
          <w:b/>
          <w:lang w:val="en-US" w:eastAsia="ko-KR"/>
        </w:rPr>
        <w:t>n the case where the configurations apply to different sidelink RATs, the UE may prioritise the carrier offering a configuration for the sidelink RAT(s) applicable to services in which it is interested.</w:t>
      </w:r>
      <w:r>
        <w:rPr>
          <w:rFonts w:eastAsia="Malgun Gothic"/>
          <w:b/>
          <w:lang w:val="en-US" w:eastAsia="ko-KR"/>
        </w:rPr>
        <w:t xml:space="preserve"> </w:t>
      </w:r>
    </w:p>
    <w:p w14:paraId="3167B1F3" w14:textId="77777777" w:rsidR="00FB089B" w:rsidRDefault="00FB089B" w:rsidP="007A286D">
      <w:pPr>
        <w:pStyle w:val="CRCoverPage"/>
        <w:spacing w:before="120"/>
        <w:jc w:val="both"/>
        <w:rPr>
          <w:b/>
          <w:lang w:val="en-US"/>
        </w:rPr>
      </w:pPr>
    </w:p>
    <w:p w14:paraId="6B024626" w14:textId="2200F495" w:rsidR="004B26AE" w:rsidRPr="00FB089B" w:rsidRDefault="009C7464" w:rsidP="00975588">
      <w:pPr>
        <w:overflowPunct/>
        <w:autoSpaceDE/>
        <w:autoSpaceDN/>
        <w:adjustRightInd/>
        <w:spacing w:after="0"/>
        <w:jc w:val="left"/>
        <w:textAlignment w:val="auto"/>
        <w:rPr>
          <w:b/>
          <w:lang w:val="en-US"/>
        </w:rPr>
      </w:pPr>
      <w:r w:rsidRPr="001B6B6C">
        <w:rPr>
          <w:rFonts w:eastAsia="Malgun Gothic"/>
          <w:b/>
          <w:lang w:val="en-US" w:eastAsia="ko-KR"/>
        </w:rPr>
        <w:t>Proposal 3: Specify that a frequency which directly provides V2X sidelink configuration has a higher priority than a frequency providing inter-carrier sidelink configuration for the same sidelink RAT(s).</w:t>
      </w: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1F77F8C9" w14:textId="1605AD9B" w:rsidR="0096741E" w:rsidRDefault="0096741E" w:rsidP="0096741E">
      <w:pPr>
        <w:pStyle w:val="Reference"/>
        <w:numPr>
          <w:ilvl w:val="0"/>
          <w:numId w:val="27"/>
        </w:numPr>
        <w:spacing w:before="120" w:after="120"/>
        <w:ind w:right="0"/>
        <w:jc w:val="both"/>
        <w:rPr>
          <w:rFonts w:ascii="Arial" w:hAnsi="Arial"/>
          <w:kern w:val="0"/>
          <w:sz w:val="20"/>
          <w:szCs w:val="20"/>
          <w:lang w:val="en-US"/>
        </w:rPr>
      </w:pPr>
      <w:bookmarkStart w:id="2" w:name="_Ref7524926"/>
      <w:r w:rsidRPr="0096741E">
        <w:rPr>
          <w:rFonts w:ascii="Arial" w:hAnsi="Arial"/>
          <w:kern w:val="0"/>
          <w:sz w:val="20"/>
          <w:szCs w:val="20"/>
          <w:lang w:val="en-US"/>
        </w:rPr>
        <w:t>R2-1903171</w:t>
      </w:r>
      <w:r>
        <w:rPr>
          <w:rFonts w:ascii="Arial" w:hAnsi="Arial"/>
          <w:kern w:val="0"/>
          <w:sz w:val="20"/>
          <w:szCs w:val="20"/>
          <w:lang w:val="en-US"/>
        </w:rPr>
        <w:t xml:space="preserve">, </w:t>
      </w:r>
      <w:r w:rsidRPr="0096741E">
        <w:rPr>
          <w:rFonts w:ascii="Arial" w:hAnsi="Arial"/>
          <w:kern w:val="0"/>
          <w:sz w:val="20"/>
          <w:szCs w:val="20"/>
          <w:lang w:val="en-US"/>
        </w:rPr>
        <w:t>Cell (Re-) selection Function in NR V2X Sidelink</w:t>
      </w:r>
      <w:r>
        <w:rPr>
          <w:rFonts w:ascii="Arial" w:hAnsi="Arial"/>
          <w:kern w:val="0"/>
          <w:sz w:val="20"/>
          <w:szCs w:val="20"/>
          <w:lang w:val="en-US"/>
        </w:rPr>
        <w:t>, CATT, RAN2#105Bis</w:t>
      </w:r>
      <w:bookmarkEnd w:id="2"/>
    </w:p>
    <w:p w14:paraId="2198083B" w14:textId="29872AAC" w:rsidR="005212DA" w:rsidRPr="00247A7D" w:rsidRDefault="005212DA" w:rsidP="0044787B">
      <w:pPr>
        <w:pStyle w:val="Reference"/>
        <w:numPr>
          <w:ilvl w:val="0"/>
          <w:numId w:val="0"/>
        </w:numPr>
        <w:spacing w:before="120" w:after="120"/>
        <w:ind w:right="0"/>
        <w:jc w:val="both"/>
        <w:rPr>
          <w:rFonts w:ascii="Arial" w:hAnsi="Arial"/>
          <w:kern w:val="0"/>
          <w:sz w:val="20"/>
          <w:szCs w:val="20"/>
          <w:lang w:val="en-US"/>
        </w:rPr>
      </w:pPr>
    </w:p>
    <w:sectPr w:rsidR="005212DA"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76768" w14:textId="77777777" w:rsidR="005E6937" w:rsidRDefault="005E6937" w:rsidP="003B1415">
      <w:pPr>
        <w:spacing w:after="0"/>
      </w:pPr>
      <w:r>
        <w:separator/>
      </w:r>
    </w:p>
  </w:endnote>
  <w:endnote w:type="continuationSeparator" w:id="0">
    <w:p w14:paraId="65B15F31" w14:textId="77777777" w:rsidR="005E6937" w:rsidRDefault="005E6937"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6CD4F" w14:textId="77777777" w:rsidR="005E6937" w:rsidRDefault="005E6937" w:rsidP="003B1415">
      <w:pPr>
        <w:spacing w:after="0"/>
      </w:pPr>
      <w:r>
        <w:separator/>
      </w:r>
    </w:p>
  </w:footnote>
  <w:footnote w:type="continuationSeparator" w:id="0">
    <w:p w14:paraId="506C9BB2" w14:textId="77777777" w:rsidR="005E6937" w:rsidRDefault="005E6937"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EF24304"/>
    <w:multiLevelType w:val="hybridMultilevel"/>
    <w:tmpl w:val="A82885BC"/>
    <w:lvl w:ilvl="0" w:tplc="D9C63D9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41308"/>
    <w:multiLevelType w:val="hybridMultilevel"/>
    <w:tmpl w:val="88C8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1" w15:restartNumberingAfterBreak="0">
    <w:nsid w:val="48F35C9F"/>
    <w:multiLevelType w:val="hybridMultilevel"/>
    <w:tmpl w:val="A9E68784"/>
    <w:lvl w:ilvl="0" w:tplc="BAAC07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F3170A"/>
    <w:multiLevelType w:val="hybridMultilevel"/>
    <w:tmpl w:val="E356D97A"/>
    <w:lvl w:ilvl="0" w:tplc="E2B0154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C4115C"/>
    <w:multiLevelType w:val="hybridMultilevel"/>
    <w:tmpl w:val="63A41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0589A"/>
    <w:multiLevelType w:val="hybridMultilevel"/>
    <w:tmpl w:val="FA842530"/>
    <w:lvl w:ilvl="0" w:tplc="356E200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CB47ADB"/>
    <w:multiLevelType w:val="hybridMultilevel"/>
    <w:tmpl w:val="42204FE0"/>
    <w:lvl w:ilvl="0" w:tplc="5B8A2B7A">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7"/>
  </w:num>
  <w:num w:numId="6">
    <w:abstractNumId w:val="16"/>
  </w:num>
  <w:num w:numId="7">
    <w:abstractNumId w:val="8"/>
  </w:num>
  <w:num w:numId="8">
    <w:abstractNumId w:val="17"/>
  </w:num>
  <w:num w:numId="9">
    <w:abstractNumId w:val="20"/>
  </w:num>
  <w:num w:numId="10">
    <w:abstractNumId w:val="34"/>
  </w:num>
  <w:num w:numId="11">
    <w:abstractNumId w:val="4"/>
  </w:num>
  <w:num w:numId="12">
    <w:abstractNumId w:val="3"/>
  </w:num>
  <w:num w:numId="13">
    <w:abstractNumId w:val="15"/>
  </w:num>
  <w:num w:numId="14">
    <w:abstractNumId w:val="23"/>
  </w:num>
  <w:num w:numId="15">
    <w:abstractNumId w:val="29"/>
  </w:num>
  <w:num w:numId="16">
    <w:abstractNumId w:val="2"/>
  </w:num>
  <w:num w:numId="17">
    <w:abstractNumId w:val="19"/>
  </w:num>
  <w:num w:numId="18">
    <w:abstractNumId w:val="31"/>
  </w:num>
  <w:num w:numId="19">
    <w:abstractNumId w:val="18"/>
  </w:num>
  <w:num w:numId="20">
    <w:abstractNumId w:val="22"/>
  </w:num>
  <w:num w:numId="21">
    <w:abstractNumId w:val="1"/>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6"/>
  </w:num>
  <w:num w:numId="26">
    <w:abstractNumId w:val="35"/>
  </w:num>
  <w:num w:numId="27">
    <w:abstractNumId w:val="32"/>
  </w:num>
  <w:num w:numId="28">
    <w:abstractNumId w:val="27"/>
  </w:num>
  <w:num w:numId="29">
    <w:abstractNumId w:val="24"/>
  </w:num>
  <w:num w:numId="30">
    <w:abstractNumId w:val="5"/>
  </w:num>
  <w:num w:numId="31">
    <w:abstractNumId w:val="30"/>
  </w:num>
  <w:num w:numId="32">
    <w:abstractNumId w:val="21"/>
  </w:num>
  <w:num w:numId="33">
    <w:abstractNumId w:val="12"/>
  </w:num>
  <w:num w:numId="34">
    <w:abstractNumId w:val="25"/>
  </w:num>
  <w:num w:numId="35">
    <w:abstractNumId w:val="26"/>
  </w:num>
  <w:num w:numId="36">
    <w:abstractNumId w:val="14"/>
  </w:num>
  <w:num w:numId="37">
    <w:abstractNumId w:val="28"/>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16BD0"/>
    <w:rsid w:val="000228C0"/>
    <w:rsid w:val="00024575"/>
    <w:rsid w:val="0002470C"/>
    <w:rsid w:val="00027644"/>
    <w:rsid w:val="0003538E"/>
    <w:rsid w:val="00042F66"/>
    <w:rsid w:val="00044969"/>
    <w:rsid w:val="00053B43"/>
    <w:rsid w:val="00056885"/>
    <w:rsid w:val="00057625"/>
    <w:rsid w:val="00071FE7"/>
    <w:rsid w:val="000820E2"/>
    <w:rsid w:val="00082376"/>
    <w:rsid w:val="00083CBD"/>
    <w:rsid w:val="0009091C"/>
    <w:rsid w:val="000934EA"/>
    <w:rsid w:val="00095540"/>
    <w:rsid w:val="000A08C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4C39"/>
    <w:rsid w:val="001216B8"/>
    <w:rsid w:val="00132BF2"/>
    <w:rsid w:val="001344BD"/>
    <w:rsid w:val="00137752"/>
    <w:rsid w:val="001421CE"/>
    <w:rsid w:val="0014570C"/>
    <w:rsid w:val="00150B17"/>
    <w:rsid w:val="00151FB1"/>
    <w:rsid w:val="00170304"/>
    <w:rsid w:val="001722FE"/>
    <w:rsid w:val="00174418"/>
    <w:rsid w:val="00175A59"/>
    <w:rsid w:val="00177ED6"/>
    <w:rsid w:val="001843AD"/>
    <w:rsid w:val="001A45CD"/>
    <w:rsid w:val="001A539F"/>
    <w:rsid w:val="001B3DBD"/>
    <w:rsid w:val="001B6B6C"/>
    <w:rsid w:val="001C6813"/>
    <w:rsid w:val="001C7C84"/>
    <w:rsid w:val="001D2982"/>
    <w:rsid w:val="001E2964"/>
    <w:rsid w:val="001E29E8"/>
    <w:rsid w:val="001E4063"/>
    <w:rsid w:val="001E5A61"/>
    <w:rsid w:val="001E6F77"/>
    <w:rsid w:val="001F05FE"/>
    <w:rsid w:val="001F71B5"/>
    <w:rsid w:val="001F75A2"/>
    <w:rsid w:val="00205DB9"/>
    <w:rsid w:val="00206659"/>
    <w:rsid w:val="0021439A"/>
    <w:rsid w:val="00215321"/>
    <w:rsid w:val="00221F33"/>
    <w:rsid w:val="00222635"/>
    <w:rsid w:val="0022589A"/>
    <w:rsid w:val="0023001D"/>
    <w:rsid w:val="00231500"/>
    <w:rsid w:val="00233563"/>
    <w:rsid w:val="002342F1"/>
    <w:rsid w:val="00242B40"/>
    <w:rsid w:val="00243604"/>
    <w:rsid w:val="00244B46"/>
    <w:rsid w:val="00246ACB"/>
    <w:rsid w:val="00247A7D"/>
    <w:rsid w:val="00252BA7"/>
    <w:rsid w:val="00256029"/>
    <w:rsid w:val="002561DD"/>
    <w:rsid w:val="00256E49"/>
    <w:rsid w:val="002654E2"/>
    <w:rsid w:val="002673FF"/>
    <w:rsid w:val="002679BA"/>
    <w:rsid w:val="00267BCD"/>
    <w:rsid w:val="00270CA0"/>
    <w:rsid w:val="002725A6"/>
    <w:rsid w:val="00276565"/>
    <w:rsid w:val="00280824"/>
    <w:rsid w:val="00293910"/>
    <w:rsid w:val="002979E0"/>
    <w:rsid w:val="002B0C42"/>
    <w:rsid w:val="002B158E"/>
    <w:rsid w:val="002C0A49"/>
    <w:rsid w:val="002E0EAA"/>
    <w:rsid w:val="002E1660"/>
    <w:rsid w:val="002E2177"/>
    <w:rsid w:val="002E3D3B"/>
    <w:rsid w:val="002E6FE0"/>
    <w:rsid w:val="002F3FF4"/>
    <w:rsid w:val="002F48B2"/>
    <w:rsid w:val="002F78CC"/>
    <w:rsid w:val="00302DD9"/>
    <w:rsid w:val="00307C75"/>
    <w:rsid w:val="00307FB5"/>
    <w:rsid w:val="00313FAC"/>
    <w:rsid w:val="003174AC"/>
    <w:rsid w:val="00317FA5"/>
    <w:rsid w:val="00322BB7"/>
    <w:rsid w:val="00322FC1"/>
    <w:rsid w:val="003307C6"/>
    <w:rsid w:val="00334CE1"/>
    <w:rsid w:val="00347CE8"/>
    <w:rsid w:val="003500EF"/>
    <w:rsid w:val="00351A33"/>
    <w:rsid w:val="00353DE6"/>
    <w:rsid w:val="003604D7"/>
    <w:rsid w:val="00362287"/>
    <w:rsid w:val="00362368"/>
    <w:rsid w:val="00370D24"/>
    <w:rsid w:val="00372440"/>
    <w:rsid w:val="00375043"/>
    <w:rsid w:val="00381B5C"/>
    <w:rsid w:val="003849DF"/>
    <w:rsid w:val="00394387"/>
    <w:rsid w:val="00395162"/>
    <w:rsid w:val="003A4068"/>
    <w:rsid w:val="003A7193"/>
    <w:rsid w:val="003A7381"/>
    <w:rsid w:val="003B0476"/>
    <w:rsid w:val="003B1415"/>
    <w:rsid w:val="003C1164"/>
    <w:rsid w:val="003C4FF6"/>
    <w:rsid w:val="003C73D5"/>
    <w:rsid w:val="003D1B4C"/>
    <w:rsid w:val="003D365A"/>
    <w:rsid w:val="003F7BE2"/>
    <w:rsid w:val="004030AF"/>
    <w:rsid w:val="00405C0C"/>
    <w:rsid w:val="00410AB8"/>
    <w:rsid w:val="0041463F"/>
    <w:rsid w:val="00415A13"/>
    <w:rsid w:val="00416463"/>
    <w:rsid w:val="00420CEF"/>
    <w:rsid w:val="00426951"/>
    <w:rsid w:val="00426D48"/>
    <w:rsid w:val="004276CA"/>
    <w:rsid w:val="00430638"/>
    <w:rsid w:val="00430DAE"/>
    <w:rsid w:val="0043292A"/>
    <w:rsid w:val="00435B80"/>
    <w:rsid w:val="00447570"/>
    <w:rsid w:val="0044787B"/>
    <w:rsid w:val="00454EF6"/>
    <w:rsid w:val="00457C69"/>
    <w:rsid w:val="0046346C"/>
    <w:rsid w:val="004644B2"/>
    <w:rsid w:val="00473B24"/>
    <w:rsid w:val="00474CA5"/>
    <w:rsid w:val="00481B55"/>
    <w:rsid w:val="0049354A"/>
    <w:rsid w:val="004B047B"/>
    <w:rsid w:val="004B1785"/>
    <w:rsid w:val="004B26AE"/>
    <w:rsid w:val="004B621D"/>
    <w:rsid w:val="004C192A"/>
    <w:rsid w:val="004D7993"/>
    <w:rsid w:val="004E02A9"/>
    <w:rsid w:val="004E5A08"/>
    <w:rsid w:val="00501739"/>
    <w:rsid w:val="00505C53"/>
    <w:rsid w:val="00515F49"/>
    <w:rsid w:val="005212DA"/>
    <w:rsid w:val="005226C4"/>
    <w:rsid w:val="00525403"/>
    <w:rsid w:val="00530FCB"/>
    <w:rsid w:val="00537A77"/>
    <w:rsid w:val="00537BC3"/>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B5C10"/>
    <w:rsid w:val="005C28BB"/>
    <w:rsid w:val="005E49C7"/>
    <w:rsid w:val="005E6937"/>
    <w:rsid w:val="005F0F6F"/>
    <w:rsid w:val="005F2932"/>
    <w:rsid w:val="005F3FAC"/>
    <w:rsid w:val="0060370A"/>
    <w:rsid w:val="00610303"/>
    <w:rsid w:val="006115D1"/>
    <w:rsid w:val="00620082"/>
    <w:rsid w:val="0062332B"/>
    <w:rsid w:val="006255ED"/>
    <w:rsid w:val="00626518"/>
    <w:rsid w:val="006316CA"/>
    <w:rsid w:val="006333E2"/>
    <w:rsid w:val="006369E7"/>
    <w:rsid w:val="00637188"/>
    <w:rsid w:val="00637CC7"/>
    <w:rsid w:val="00642F89"/>
    <w:rsid w:val="00644563"/>
    <w:rsid w:val="00645095"/>
    <w:rsid w:val="00646ED2"/>
    <w:rsid w:val="00650FF3"/>
    <w:rsid w:val="00656CC6"/>
    <w:rsid w:val="00656DE1"/>
    <w:rsid w:val="00661021"/>
    <w:rsid w:val="0066209F"/>
    <w:rsid w:val="00663A98"/>
    <w:rsid w:val="00667092"/>
    <w:rsid w:val="00670117"/>
    <w:rsid w:val="0067697C"/>
    <w:rsid w:val="00684CA8"/>
    <w:rsid w:val="00685CA1"/>
    <w:rsid w:val="00691E5A"/>
    <w:rsid w:val="006A4355"/>
    <w:rsid w:val="006B0A48"/>
    <w:rsid w:val="006C04AB"/>
    <w:rsid w:val="006D07C4"/>
    <w:rsid w:val="006D3B4A"/>
    <w:rsid w:val="006D5148"/>
    <w:rsid w:val="006D5A4B"/>
    <w:rsid w:val="006D60C4"/>
    <w:rsid w:val="006E7D64"/>
    <w:rsid w:val="006F1494"/>
    <w:rsid w:val="006F2CD8"/>
    <w:rsid w:val="006F2D24"/>
    <w:rsid w:val="006F3E09"/>
    <w:rsid w:val="006F5A02"/>
    <w:rsid w:val="006F63AC"/>
    <w:rsid w:val="00720F35"/>
    <w:rsid w:val="0072350B"/>
    <w:rsid w:val="007244C2"/>
    <w:rsid w:val="00724B25"/>
    <w:rsid w:val="00724B9A"/>
    <w:rsid w:val="00727AEE"/>
    <w:rsid w:val="00730070"/>
    <w:rsid w:val="00730DE1"/>
    <w:rsid w:val="0073420C"/>
    <w:rsid w:val="00737B35"/>
    <w:rsid w:val="007449F2"/>
    <w:rsid w:val="00746DF7"/>
    <w:rsid w:val="00754D51"/>
    <w:rsid w:val="00767AFC"/>
    <w:rsid w:val="007718CC"/>
    <w:rsid w:val="007720D5"/>
    <w:rsid w:val="007735E4"/>
    <w:rsid w:val="00775D3D"/>
    <w:rsid w:val="00776935"/>
    <w:rsid w:val="00781D30"/>
    <w:rsid w:val="0078706C"/>
    <w:rsid w:val="00792C74"/>
    <w:rsid w:val="00797FAD"/>
    <w:rsid w:val="007A286D"/>
    <w:rsid w:val="007A7B4F"/>
    <w:rsid w:val="007B1020"/>
    <w:rsid w:val="007B35FF"/>
    <w:rsid w:val="007B6A21"/>
    <w:rsid w:val="007C180E"/>
    <w:rsid w:val="007C2FB0"/>
    <w:rsid w:val="007C3B10"/>
    <w:rsid w:val="007C6482"/>
    <w:rsid w:val="007D1769"/>
    <w:rsid w:val="007D5EE7"/>
    <w:rsid w:val="007E2B75"/>
    <w:rsid w:val="007E30A2"/>
    <w:rsid w:val="007E6F51"/>
    <w:rsid w:val="007F2D17"/>
    <w:rsid w:val="00802BE0"/>
    <w:rsid w:val="00802F6C"/>
    <w:rsid w:val="00803E0A"/>
    <w:rsid w:val="00806F0C"/>
    <w:rsid w:val="00812172"/>
    <w:rsid w:val="0081466C"/>
    <w:rsid w:val="00817A56"/>
    <w:rsid w:val="00824057"/>
    <w:rsid w:val="0083000A"/>
    <w:rsid w:val="00832EB6"/>
    <w:rsid w:val="00832FDD"/>
    <w:rsid w:val="00836427"/>
    <w:rsid w:val="0083674A"/>
    <w:rsid w:val="008378EF"/>
    <w:rsid w:val="008416C4"/>
    <w:rsid w:val="008449ED"/>
    <w:rsid w:val="0084649C"/>
    <w:rsid w:val="00846C32"/>
    <w:rsid w:val="008470AB"/>
    <w:rsid w:val="00847B3D"/>
    <w:rsid w:val="008553CE"/>
    <w:rsid w:val="008571CE"/>
    <w:rsid w:val="008605F9"/>
    <w:rsid w:val="00861035"/>
    <w:rsid w:val="00863C0C"/>
    <w:rsid w:val="008652E3"/>
    <w:rsid w:val="00873F66"/>
    <w:rsid w:val="0088075E"/>
    <w:rsid w:val="00891A23"/>
    <w:rsid w:val="00895B62"/>
    <w:rsid w:val="008A3DCB"/>
    <w:rsid w:val="008A6BE6"/>
    <w:rsid w:val="008B49E2"/>
    <w:rsid w:val="008C310A"/>
    <w:rsid w:val="008C4471"/>
    <w:rsid w:val="008E21AC"/>
    <w:rsid w:val="008F39BE"/>
    <w:rsid w:val="008F3CB4"/>
    <w:rsid w:val="0090090C"/>
    <w:rsid w:val="009015AA"/>
    <w:rsid w:val="009103E4"/>
    <w:rsid w:val="00912342"/>
    <w:rsid w:val="00912931"/>
    <w:rsid w:val="00912FEE"/>
    <w:rsid w:val="009168AF"/>
    <w:rsid w:val="009174AD"/>
    <w:rsid w:val="0091790B"/>
    <w:rsid w:val="009206A2"/>
    <w:rsid w:val="009211F5"/>
    <w:rsid w:val="00922AAB"/>
    <w:rsid w:val="009259D4"/>
    <w:rsid w:val="00927784"/>
    <w:rsid w:val="009300A9"/>
    <w:rsid w:val="00937FDA"/>
    <w:rsid w:val="00945BA3"/>
    <w:rsid w:val="00951F65"/>
    <w:rsid w:val="00952B1F"/>
    <w:rsid w:val="00955724"/>
    <w:rsid w:val="00955740"/>
    <w:rsid w:val="00963742"/>
    <w:rsid w:val="0096741E"/>
    <w:rsid w:val="00975588"/>
    <w:rsid w:val="00983562"/>
    <w:rsid w:val="00985601"/>
    <w:rsid w:val="00992D0B"/>
    <w:rsid w:val="009936B9"/>
    <w:rsid w:val="00994E27"/>
    <w:rsid w:val="009B3891"/>
    <w:rsid w:val="009B6AC2"/>
    <w:rsid w:val="009C43B4"/>
    <w:rsid w:val="009C494B"/>
    <w:rsid w:val="009C7464"/>
    <w:rsid w:val="009D3FC3"/>
    <w:rsid w:val="009E08F6"/>
    <w:rsid w:val="009E3081"/>
    <w:rsid w:val="009E7274"/>
    <w:rsid w:val="009E77C0"/>
    <w:rsid w:val="009F3B40"/>
    <w:rsid w:val="009F44E1"/>
    <w:rsid w:val="00A0027D"/>
    <w:rsid w:val="00A00D9C"/>
    <w:rsid w:val="00A02E3B"/>
    <w:rsid w:val="00A07140"/>
    <w:rsid w:val="00A16C1D"/>
    <w:rsid w:val="00A17C92"/>
    <w:rsid w:val="00A21E93"/>
    <w:rsid w:val="00A27D6E"/>
    <w:rsid w:val="00A301B4"/>
    <w:rsid w:val="00A3288E"/>
    <w:rsid w:val="00A340C7"/>
    <w:rsid w:val="00A379FA"/>
    <w:rsid w:val="00A4193B"/>
    <w:rsid w:val="00A424DB"/>
    <w:rsid w:val="00A424DE"/>
    <w:rsid w:val="00A44EF6"/>
    <w:rsid w:val="00A470FB"/>
    <w:rsid w:val="00A577D4"/>
    <w:rsid w:val="00A608C9"/>
    <w:rsid w:val="00A6161C"/>
    <w:rsid w:val="00A63B1D"/>
    <w:rsid w:val="00A63F4F"/>
    <w:rsid w:val="00A77D76"/>
    <w:rsid w:val="00A84A38"/>
    <w:rsid w:val="00A959F3"/>
    <w:rsid w:val="00A95FF4"/>
    <w:rsid w:val="00AA08E4"/>
    <w:rsid w:val="00AA21BE"/>
    <w:rsid w:val="00AA31D9"/>
    <w:rsid w:val="00AA3FA4"/>
    <w:rsid w:val="00AB042B"/>
    <w:rsid w:val="00AB1099"/>
    <w:rsid w:val="00AB4EC4"/>
    <w:rsid w:val="00AB5A0C"/>
    <w:rsid w:val="00AB6525"/>
    <w:rsid w:val="00AB69B7"/>
    <w:rsid w:val="00AB6E5E"/>
    <w:rsid w:val="00AC0AB9"/>
    <w:rsid w:val="00AC131F"/>
    <w:rsid w:val="00AC3ADE"/>
    <w:rsid w:val="00AC6DCB"/>
    <w:rsid w:val="00AD1DF7"/>
    <w:rsid w:val="00AD3B15"/>
    <w:rsid w:val="00AD3C3F"/>
    <w:rsid w:val="00AE2493"/>
    <w:rsid w:val="00AF1DB5"/>
    <w:rsid w:val="00AF2887"/>
    <w:rsid w:val="00AF59BB"/>
    <w:rsid w:val="00B05064"/>
    <w:rsid w:val="00B149C8"/>
    <w:rsid w:val="00B14EE4"/>
    <w:rsid w:val="00B174B2"/>
    <w:rsid w:val="00B20D07"/>
    <w:rsid w:val="00B216A4"/>
    <w:rsid w:val="00B308A1"/>
    <w:rsid w:val="00B359B7"/>
    <w:rsid w:val="00B4201E"/>
    <w:rsid w:val="00B45066"/>
    <w:rsid w:val="00B516F4"/>
    <w:rsid w:val="00B52322"/>
    <w:rsid w:val="00B55BBB"/>
    <w:rsid w:val="00B6004D"/>
    <w:rsid w:val="00B62186"/>
    <w:rsid w:val="00B63DE3"/>
    <w:rsid w:val="00B67BAE"/>
    <w:rsid w:val="00B73E05"/>
    <w:rsid w:val="00B75422"/>
    <w:rsid w:val="00B77424"/>
    <w:rsid w:val="00B928E7"/>
    <w:rsid w:val="00B92BBC"/>
    <w:rsid w:val="00B97774"/>
    <w:rsid w:val="00B97D78"/>
    <w:rsid w:val="00BA0A88"/>
    <w:rsid w:val="00BA5718"/>
    <w:rsid w:val="00BB4FD6"/>
    <w:rsid w:val="00BC5936"/>
    <w:rsid w:val="00BD02C3"/>
    <w:rsid w:val="00BD0B2F"/>
    <w:rsid w:val="00BD1973"/>
    <w:rsid w:val="00BD43B1"/>
    <w:rsid w:val="00BD613F"/>
    <w:rsid w:val="00BF7402"/>
    <w:rsid w:val="00C000BA"/>
    <w:rsid w:val="00C11DA9"/>
    <w:rsid w:val="00C121DF"/>
    <w:rsid w:val="00C13490"/>
    <w:rsid w:val="00C150E0"/>
    <w:rsid w:val="00C21B85"/>
    <w:rsid w:val="00C32EA8"/>
    <w:rsid w:val="00C45D07"/>
    <w:rsid w:val="00C54C68"/>
    <w:rsid w:val="00C54FD6"/>
    <w:rsid w:val="00C55465"/>
    <w:rsid w:val="00C62831"/>
    <w:rsid w:val="00C63495"/>
    <w:rsid w:val="00C6733E"/>
    <w:rsid w:val="00C704F2"/>
    <w:rsid w:val="00C70EB6"/>
    <w:rsid w:val="00C8114D"/>
    <w:rsid w:val="00C93A8C"/>
    <w:rsid w:val="00C96E26"/>
    <w:rsid w:val="00C975EB"/>
    <w:rsid w:val="00CA2160"/>
    <w:rsid w:val="00CB0F18"/>
    <w:rsid w:val="00CB3AD4"/>
    <w:rsid w:val="00CB3F9D"/>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3E8"/>
    <w:rsid w:val="00D224B6"/>
    <w:rsid w:val="00D248CA"/>
    <w:rsid w:val="00D26371"/>
    <w:rsid w:val="00D33B79"/>
    <w:rsid w:val="00D33F89"/>
    <w:rsid w:val="00D36893"/>
    <w:rsid w:val="00D4027F"/>
    <w:rsid w:val="00D41A99"/>
    <w:rsid w:val="00D433FD"/>
    <w:rsid w:val="00D45384"/>
    <w:rsid w:val="00D473F4"/>
    <w:rsid w:val="00D53224"/>
    <w:rsid w:val="00D553D9"/>
    <w:rsid w:val="00D555AD"/>
    <w:rsid w:val="00D562D0"/>
    <w:rsid w:val="00D631FA"/>
    <w:rsid w:val="00D63C9C"/>
    <w:rsid w:val="00D64BD1"/>
    <w:rsid w:val="00D67FC6"/>
    <w:rsid w:val="00D7404D"/>
    <w:rsid w:val="00D84D69"/>
    <w:rsid w:val="00D95AD2"/>
    <w:rsid w:val="00D96CC3"/>
    <w:rsid w:val="00DA52D1"/>
    <w:rsid w:val="00DA6136"/>
    <w:rsid w:val="00DB057E"/>
    <w:rsid w:val="00DB0988"/>
    <w:rsid w:val="00DB6F1B"/>
    <w:rsid w:val="00DB79CC"/>
    <w:rsid w:val="00DC40BD"/>
    <w:rsid w:val="00DD0BEA"/>
    <w:rsid w:val="00DD1438"/>
    <w:rsid w:val="00DD1D93"/>
    <w:rsid w:val="00DD1E84"/>
    <w:rsid w:val="00DD6BDA"/>
    <w:rsid w:val="00DE5287"/>
    <w:rsid w:val="00DF21DE"/>
    <w:rsid w:val="00DF50B8"/>
    <w:rsid w:val="00DF57C1"/>
    <w:rsid w:val="00DF7B9B"/>
    <w:rsid w:val="00E00C4C"/>
    <w:rsid w:val="00E02092"/>
    <w:rsid w:val="00E03441"/>
    <w:rsid w:val="00E048BA"/>
    <w:rsid w:val="00E06266"/>
    <w:rsid w:val="00E0651C"/>
    <w:rsid w:val="00E170BB"/>
    <w:rsid w:val="00E20160"/>
    <w:rsid w:val="00E24D51"/>
    <w:rsid w:val="00E265D8"/>
    <w:rsid w:val="00E322C8"/>
    <w:rsid w:val="00E358A2"/>
    <w:rsid w:val="00E44184"/>
    <w:rsid w:val="00E444E5"/>
    <w:rsid w:val="00E51992"/>
    <w:rsid w:val="00E52023"/>
    <w:rsid w:val="00E56D6F"/>
    <w:rsid w:val="00E6643B"/>
    <w:rsid w:val="00E75DE8"/>
    <w:rsid w:val="00E85297"/>
    <w:rsid w:val="00E868A1"/>
    <w:rsid w:val="00E86FBF"/>
    <w:rsid w:val="00E87543"/>
    <w:rsid w:val="00E91D1E"/>
    <w:rsid w:val="00E939AD"/>
    <w:rsid w:val="00E96244"/>
    <w:rsid w:val="00EA207E"/>
    <w:rsid w:val="00EA24F1"/>
    <w:rsid w:val="00EA2FD9"/>
    <w:rsid w:val="00EB0FA5"/>
    <w:rsid w:val="00EB1C6A"/>
    <w:rsid w:val="00EB78EC"/>
    <w:rsid w:val="00ED0CA8"/>
    <w:rsid w:val="00ED71A7"/>
    <w:rsid w:val="00ED7ADB"/>
    <w:rsid w:val="00EE2818"/>
    <w:rsid w:val="00EE3C95"/>
    <w:rsid w:val="00EE4B8E"/>
    <w:rsid w:val="00EF1470"/>
    <w:rsid w:val="00EF6AF8"/>
    <w:rsid w:val="00F03A46"/>
    <w:rsid w:val="00F03AB0"/>
    <w:rsid w:val="00F15117"/>
    <w:rsid w:val="00F33144"/>
    <w:rsid w:val="00F34138"/>
    <w:rsid w:val="00F35C05"/>
    <w:rsid w:val="00F371F3"/>
    <w:rsid w:val="00F41CE5"/>
    <w:rsid w:val="00F41FB1"/>
    <w:rsid w:val="00F45138"/>
    <w:rsid w:val="00F46349"/>
    <w:rsid w:val="00F515C1"/>
    <w:rsid w:val="00F6020F"/>
    <w:rsid w:val="00F6330D"/>
    <w:rsid w:val="00F7639E"/>
    <w:rsid w:val="00F81E0C"/>
    <w:rsid w:val="00F83492"/>
    <w:rsid w:val="00F84089"/>
    <w:rsid w:val="00F933DB"/>
    <w:rsid w:val="00F93764"/>
    <w:rsid w:val="00F938FC"/>
    <w:rsid w:val="00F9390A"/>
    <w:rsid w:val="00F96FF9"/>
    <w:rsid w:val="00FA044B"/>
    <w:rsid w:val="00FA30A4"/>
    <w:rsid w:val="00FB089B"/>
    <w:rsid w:val="00FB3C29"/>
    <w:rsid w:val="00FB4749"/>
    <w:rsid w:val="00FB4819"/>
    <w:rsid w:val="00FB4CAB"/>
    <w:rsid w:val="00FB6798"/>
    <w:rsid w:val="00FC08DE"/>
    <w:rsid w:val="00FC283A"/>
    <w:rsid w:val="00FD498C"/>
    <w:rsid w:val="00FE71B6"/>
    <w:rsid w:val="00FF24B2"/>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42880444">
      <w:bodyDiv w:val="1"/>
      <w:marLeft w:val="0"/>
      <w:marRight w:val="0"/>
      <w:marTop w:val="0"/>
      <w:marBottom w:val="0"/>
      <w:divBdr>
        <w:top w:val="none" w:sz="0" w:space="0" w:color="auto"/>
        <w:left w:val="none" w:sz="0" w:space="0" w:color="auto"/>
        <w:bottom w:val="none" w:sz="0" w:space="0" w:color="auto"/>
        <w:right w:val="none" w:sz="0" w:space="0" w:color="auto"/>
      </w:divBdr>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6D70-72E5-47E6-A07D-B9BF1535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4</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34</cp:revision>
  <dcterms:created xsi:type="dcterms:W3CDTF">2019-04-30T03:38:00Z</dcterms:created>
  <dcterms:modified xsi:type="dcterms:W3CDTF">2019-05-03T03:25:00Z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